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AEB6" w14:textId="0C4493D9" w:rsidR="0073527F" w:rsidRPr="00EA0DDA" w:rsidRDefault="000A0C0C" w:rsidP="000A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bCs/>
          <w:szCs w:val="22"/>
          <w:lang w:val="fr-CA"/>
        </w:rPr>
      </w:pPr>
      <w:r w:rsidRPr="00EA0DDA">
        <w:rPr>
          <w:rFonts w:cs="Calibri"/>
          <w:b/>
          <w:bCs/>
          <w:szCs w:val="22"/>
          <w:lang w:val="fr-CA"/>
        </w:rPr>
        <w:t xml:space="preserve">Lettre </w:t>
      </w:r>
      <w:r w:rsidR="008D04C6" w:rsidRPr="00EA0DDA">
        <w:rPr>
          <w:rFonts w:cs="Calibri"/>
          <w:b/>
          <w:bCs/>
          <w:szCs w:val="22"/>
          <w:lang w:val="fr-CA"/>
        </w:rPr>
        <w:t>d’autorisation médicale</w:t>
      </w:r>
    </w:p>
    <w:p w14:paraId="43E30FD4" w14:textId="77777777" w:rsidR="000A0C0C" w:rsidRPr="009D7071" w:rsidRDefault="000A0C0C" w:rsidP="000A0C0C">
      <w:pPr>
        <w:pStyle w:val="NoSpacing"/>
        <w:rPr>
          <w:sz w:val="18"/>
          <w:lang w:val="fr-CA"/>
        </w:rPr>
      </w:pPr>
    </w:p>
    <w:p w14:paraId="3B2F4579" w14:textId="70F246B1" w:rsidR="0073527F" w:rsidRPr="007B4AEB" w:rsidRDefault="0073527F" w:rsidP="009D7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cs="Calibri"/>
          <w:sz w:val="21"/>
          <w:szCs w:val="21"/>
          <w:lang w:val="fr-CA"/>
        </w:rPr>
      </w:pPr>
      <w:r w:rsidRPr="007B4AEB">
        <w:rPr>
          <w:rFonts w:cs="Calibri"/>
          <w:sz w:val="21"/>
          <w:szCs w:val="21"/>
          <w:lang w:val="fr-CA"/>
        </w:rPr>
        <w:t>Date</w:t>
      </w:r>
      <w:r w:rsidR="000A0C0C" w:rsidRPr="007B4AEB">
        <w:rPr>
          <w:rFonts w:cs="Calibri"/>
          <w:sz w:val="21"/>
          <w:szCs w:val="21"/>
          <w:lang w:val="fr-CA"/>
        </w:rPr>
        <w:t xml:space="preserve"> </w:t>
      </w:r>
      <w:r w:rsidRPr="007B4AEB">
        <w:rPr>
          <w:rFonts w:cs="Calibri"/>
          <w:sz w:val="21"/>
          <w:szCs w:val="21"/>
          <w:lang w:val="fr-CA"/>
        </w:rPr>
        <w:t xml:space="preserve">: </w:t>
      </w:r>
      <w:r w:rsidR="009D7071">
        <w:rPr>
          <w:rFonts w:cs="Calibri"/>
          <w:sz w:val="21"/>
          <w:szCs w:val="21"/>
          <w:lang w:val="fr-CA"/>
        </w:rPr>
        <w:t>_____________________________</w:t>
      </w:r>
      <w:r w:rsidR="009D7071">
        <w:rPr>
          <w:rFonts w:cs="Calibri"/>
          <w:sz w:val="21"/>
          <w:szCs w:val="21"/>
          <w:lang w:val="fr-CA"/>
        </w:rPr>
        <w:tab/>
      </w:r>
      <w:r w:rsidR="000A0C0C" w:rsidRPr="007B4AEB">
        <w:rPr>
          <w:rFonts w:cs="Calibri"/>
          <w:sz w:val="21"/>
          <w:szCs w:val="21"/>
          <w:lang w:val="fr-CA"/>
        </w:rPr>
        <w:t xml:space="preserve">Nom d’athlète </w:t>
      </w:r>
      <w:r w:rsidRPr="007B4AEB">
        <w:rPr>
          <w:rFonts w:cs="Calibri"/>
          <w:sz w:val="21"/>
          <w:szCs w:val="21"/>
          <w:lang w:val="fr-CA"/>
        </w:rPr>
        <w:t>: _______________________</w:t>
      </w:r>
      <w:r w:rsidR="000818A4" w:rsidRPr="007B4AEB">
        <w:rPr>
          <w:rFonts w:cs="Calibri"/>
          <w:sz w:val="21"/>
          <w:szCs w:val="21"/>
          <w:lang w:val="fr-CA"/>
        </w:rPr>
        <w:t>___</w:t>
      </w:r>
      <w:r w:rsidR="007B4AEB">
        <w:rPr>
          <w:rFonts w:cs="Calibri"/>
          <w:sz w:val="21"/>
          <w:szCs w:val="21"/>
          <w:lang w:val="fr-CA"/>
        </w:rPr>
        <w:t>_</w:t>
      </w:r>
      <w:r w:rsidR="000A0C0C" w:rsidRPr="007B4AEB">
        <w:rPr>
          <w:rFonts w:cs="Calibri"/>
          <w:sz w:val="21"/>
          <w:szCs w:val="21"/>
          <w:lang w:val="fr-CA"/>
        </w:rPr>
        <w:t>_</w:t>
      </w:r>
      <w:r w:rsidR="000818A4" w:rsidRPr="007B4AEB">
        <w:rPr>
          <w:rFonts w:cs="Calibri"/>
          <w:sz w:val="21"/>
          <w:szCs w:val="21"/>
          <w:lang w:val="fr-CA"/>
        </w:rPr>
        <w:t>_</w:t>
      </w:r>
      <w:r w:rsidRPr="007B4AEB">
        <w:rPr>
          <w:rFonts w:cs="Calibri"/>
          <w:sz w:val="21"/>
          <w:szCs w:val="21"/>
          <w:lang w:val="fr-CA"/>
        </w:rPr>
        <w:t>_</w:t>
      </w:r>
      <w:r w:rsidR="009D7071">
        <w:rPr>
          <w:rFonts w:cs="Calibri"/>
          <w:sz w:val="21"/>
          <w:szCs w:val="21"/>
          <w:lang w:val="fr-CA"/>
        </w:rPr>
        <w:t>___________</w:t>
      </w:r>
    </w:p>
    <w:p w14:paraId="658A05EF" w14:textId="77777777" w:rsidR="00846A3C" w:rsidRPr="007B4AEB" w:rsidRDefault="00846A3C" w:rsidP="00AA4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Calibri"/>
          <w:sz w:val="21"/>
          <w:szCs w:val="21"/>
          <w:lang w:val="fr-CA"/>
        </w:rPr>
      </w:pPr>
      <w:r w:rsidRPr="007B4AEB">
        <w:rPr>
          <w:rFonts w:cs="Calibri"/>
          <w:sz w:val="21"/>
          <w:szCs w:val="21"/>
          <w:lang w:val="fr-CA"/>
        </w:rPr>
        <w:t>Madame, Monsieur,</w:t>
      </w:r>
    </w:p>
    <w:p w14:paraId="52C4E011" w14:textId="51153743" w:rsidR="0073527F" w:rsidRPr="007B4AEB" w:rsidRDefault="008D04C6" w:rsidP="00EC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cs="Calibri"/>
          <w:sz w:val="21"/>
          <w:szCs w:val="21"/>
          <w:lang w:val="fr-CA"/>
        </w:rPr>
      </w:pPr>
      <w:r w:rsidRPr="007B4AEB">
        <w:rPr>
          <w:rFonts w:cs="Calibri"/>
          <w:sz w:val="21"/>
          <w:szCs w:val="21"/>
          <w:lang w:val="fr-CA"/>
        </w:rPr>
        <w:t xml:space="preserve">Les athlètes chez qui on a décelé une commotion cérébrale devraient être suivis conformément aux </w:t>
      </w:r>
      <w:r w:rsidRPr="007B4AEB">
        <w:rPr>
          <w:rFonts w:cs="Calibri"/>
          <w:i/>
          <w:sz w:val="21"/>
          <w:szCs w:val="21"/>
          <w:lang w:val="fr-CA"/>
        </w:rPr>
        <w:t>Lignes directrices canadiennes sur les commotions cérébrales dans le sport</w:t>
      </w:r>
      <w:r w:rsidRPr="007B4AEB">
        <w:rPr>
          <w:rFonts w:cs="Calibri"/>
          <w:sz w:val="21"/>
          <w:szCs w:val="21"/>
          <w:lang w:val="fr-CA"/>
        </w:rPr>
        <w:t>, y compris les stratégies de retour à l’école et de retour au sport (voir page 2 de la présente lettre). Par conséquent, l’athlète mentionné ci-dessus a reçu l’autorisation médicale de participer aux activités suivantes selon la tolérance à compter de la date indiquée ci-dessus (cochez toutes les situations qui s’appliquent) :</w:t>
      </w:r>
    </w:p>
    <w:p w14:paraId="4E67877F" w14:textId="7FFBB717" w:rsidR="00686BA9" w:rsidRPr="007B4AEB" w:rsidRDefault="00686BA9" w:rsidP="00686BA9">
      <w:pPr>
        <w:pStyle w:val="ParagraphBody"/>
        <w:numPr>
          <w:ilvl w:val="0"/>
          <w:numId w:val="2"/>
        </w:numPr>
        <w:spacing w:after="60"/>
        <w:ind w:left="425" w:hanging="425"/>
        <w:rPr>
          <w:b/>
          <w:sz w:val="21"/>
          <w:szCs w:val="21"/>
          <w:lang w:val="fr-CA"/>
        </w:rPr>
      </w:pPr>
      <w:r w:rsidRPr="007B4AEB">
        <w:rPr>
          <w:b/>
          <w:bCs/>
          <w:sz w:val="21"/>
          <w:szCs w:val="21"/>
          <w:lang w:val="fr-CA"/>
        </w:rPr>
        <w:t>Activité limitant les symptômes (activités cognitives et physiques qui ne causant pas de symptômes) </w:t>
      </w:r>
      <w:r w:rsidRPr="007B4AEB">
        <w:rPr>
          <w:b/>
          <w:sz w:val="21"/>
          <w:szCs w:val="21"/>
          <w:lang w:val="fr-CA"/>
        </w:rPr>
        <w:t xml:space="preserve"> </w:t>
      </w:r>
    </w:p>
    <w:p w14:paraId="64F1A80B" w14:textId="77777777" w:rsidR="005D45D9" w:rsidRDefault="00686BA9" w:rsidP="005D45D9">
      <w:pPr>
        <w:pStyle w:val="ParagraphBody"/>
        <w:numPr>
          <w:ilvl w:val="0"/>
          <w:numId w:val="2"/>
        </w:numPr>
        <w:ind w:left="426" w:hanging="426"/>
        <w:rPr>
          <w:rFonts w:ascii="Calibri" w:hAnsi="Calibri"/>
          <w:lang w:val="fr-CA"/>
        </w:rPr>
      </w:pPr>
      <w:r w:rsidRPr="007B4AEB">
        <w:rPr>
          <w:b/>
          <w:bCs/>
          <w:sz w:val="21"/>
          <w:szCs w:val="21"/>
          <w:lang w:val="fr-CA"/>
        </w:rPr>
        <w:t xml:space="preserve">Activité aérobie peu exigeante </w:t>
      </w:r>
      <w:r w:rsidRPr="005D45D9">
        <w:rPr>
          <w:b/>
          <w:bCs/>
          <w:sz w:val="21"/>
          <w:szCs w:val="21"/>
          <w:lang w:val="fr-CA"/>
        </w:rPr>
        <w:t>(</w:t>
      </w:r>
      <w:r w:rsidR="005D45D9">
        <w:rPr>
          <w:b/>
          <w:bCs/>
          <w:sz w:val="21"/>
          <w:szCs w:val="21"/>
          <w:lang w:val="fr-CA"/>
        </w:rPr>
        <w:t>Marche, déplacement en fauteuil roulant, vélo stationnaire ou à main</w:t>
      </w:r>
    </w:p>
    <w:p w14:paraId="68AC6E2E" w14:textId="3BEBED0C" w:rsidR="00686BA9" w:rsidRPr="007B4AEB" w:rsidRDefault="00686BA9" w:rsidP="005D45D9">
      <w:pPr>
        <w:pStyle w:val="ParagraphBody"/>
        <w:spacing w:after="60"/>
        <w:ind w:left="425"/>
        <w:rPr>
          <w:b/>
          <w:sz w:val="21"/>
          <w:szCs w:val="21"/>
          <w:lang w:val="fr-CA"/>
        </w:rPr>
      </w:pPr>
      <w:bookmarkStart w:id="0" w:name="_GoBack"/>
      <w:bookmarkEnd w:id="0"/>
      <w:r w:rsidRPr="007B4AEB">
        <w:rPr>
          <w:b/>
          <w:bCs/>
          <w:sz w:val="21"/>
          <w:szCs w:val="21"/>
          <w:lang w:val="fr-CA"/>
        </w:rPr>
        <w:t>rythme lent ou moyen. Aucun exercice de résistance.)</w:t>
      </w:r>
    </w:p>
    <w:p w14:paraId="4A077FC8" w14:textId="51F28A91" w:rsidR="00686BA9" w:rsidRPr="007B4AEB" w:rsidRDefault="00686BA9" w:rsidP="00686BA9">
      <w:pPr>
        <w:pStyle w:val="ParagraphBody"/>
        <w:numPr>
          <w:ilvl w:val="0"/>
          <w:numId w:val="2"/>
        </w:numPr>
        <w:spacing w:after="60"/>
        <w:ind w:left="425" w:hanging="425"/>
        <w:rPr>
          <w:b/>
          <w:sz w:val="21"/>
          <w:szCs w:val="21"/>
          <w:lang w:val="fr-CA"/>
        </w:rPr>
      </w:pPr>
      <w:r w:rsidRPr="007B4AEB">
        <w:rPr>
          <w:b/>
          <w:bCs/>
          <w:sz w:val="21"/>
          <w:szCs w:val="21"/>
          <w:lang w:val="fr-CA"/>
        </w:rPr>
        <w:t>Exercices spécifique à un sport (Aucune activité posant un risque d’impact à la tête.)</w:t>
      </w:r>
    </w:p>
    <w:p w14:paraId="35D54F23" w14:textId="4B3D55E9" w:rsidR="00686BA9" w:rsidRPr="007B4AEB" w:rsidRDefault="00686BA9" w:rsidP="00686BA9">
      <w:pPr>
        <w:pStyle w:val="ParagraphBody"/>
        <w:numPr>
          <w:ilvl w:val="0"/>
          <w:numId w:val="2"/>
        </w:numPr>
        <w:ind w:left="426" w:hanging="426"/>
        <w:rPr>
          <w:b/>
          <w:sz w:val="21"/>
          <w:szCs w:val="21"/>
          <w:lang w:val="fr-CA"/>
        </w:rPr>
      </w:pPr>
      <w:r w:rsidRPr="007B4AEB">
        <w:rPr>
          <w:b/>
          <w:bCs/>
          <w:sz w:val="21"/>
          <w:szCs w:val="21"/>
          <w:lang w:val="fr-CA"/>
        </w:rPr>
        <w:t>Exercices d’entraînement n’impliquant pas de contact (Exercices d’entraînement plus difficiles, par exemples exercices de lancer. Peut commencer un entraînement d’activités de résistance progressif. Peut comprendre des activités de gymnastique qui ne risquent pas de provoquer de contact</w:t>
      </w:r>
      <w:r w:rsidR="007941AC">
        <w:rPr>
          <w:b/>
          <w:bCs/>
          <w:sz w:val="21"/>
          <w:szCs w:val="21"/>
          <w:lang w:val="fr-CA"/>
        </w:rPr>
        <w:t>.</w:t>
      </w:r>
    </w:p>
    <w:p w14:paraId="4FAB886C" w14:textId="0B15AA48" w:rsidR="00686BA9" w:rsidRPr="007B4AEB" w:rsidRDefault="00686BA9" w:rsidP="00EA0DDA">
      <w:pPr>
        <w:pStyle w:val="ParagraphBody"/>
        <w:numPr>
          <w:ilvl w:val="0"/>
          <w:numId w:val="2"/>
        </w:numPr>
        <w:ind w:left="426" w:hanging="426"/>
        <w:rPr>
          <w:b/>
          <w:sz w:val="21"/>
          <w:szCs w:val="21"/>
          <w:lang w:val="fr-CA"/>
        </w:rPr>
      </w:pPr>
      <w:r w:rsidRPr="007B4AEB">
        <w:rPr>
          <w:b/>
          <w:bCs/>
          <w:sz w:val="21"/>
          <w:szCs w:val="21"/>
          <w:lang w:val="fr-CA"/>
        </w:rPr>
        <w:t>Entraînement avec contacts sans restrictions (dont des activités de gymnastiques pouvant entraîner un risque de contact et un choc à la tête).</w:t>
      </w:r>
    </w:p>
    <w:p w14:paraId="4CAF8D7B" w14:textId="05D39888" w:rsidR="004E2915" w:rsidRPr="007B4AEB" w:rsidRDefault="004E2915" w:rsidP="00EA0DDA">
      <w:pPr>
        <w:pStyle w:val="ParagraphBody"/>
        <w:numPr>
          <w:ilvl w:val="0"/>
          <w:numId w:val="2"/>
        </w:numPr>
        <w:ind w:left="426" w:hanging="426"/>
        <w:rPr>
          <w:b/>
          <w:sz w:val="21"/>
          <w:szCs w:val="21"/>
          <w:lang w:val="fr-CA"/>
        </w:rPr>
      </w:pPr>
      <w:r w:rsidRPr="007B4AEB">
        <w:rPr>
          <w:b/>
          <w:bCs/>
          <w:sz w:val="21"/>
          <w:szCs w:val="21"/>
          <w:lang w:val="fr-CA"/>
        </w:rPr>
        <w:t>Pratique normale du sport.</w:t>
      </w:r>
    </w:p>
    <w:p w14:paraId="0C228538" w14:textId="77777777" w:rsidR="00EA0DDA" w:rsidRPr="00EC7265" w:rsidRDefault="00EA0DDA" w:rsidP="00EA0DDA">
      <w:pPr>
        <w:pStyle w:val="ParagraphBody"/>
        <w:rPr>
          <w:b/>
          <w:sz w:val="14"/>
          <w:szCs w:val="21"/>
          <w:lang w:val="fr-CA"/>
        </w:rPr>
      </w:pPr>
    </w:p>
    <w:p w14:paraId="410DA112" w14:textId="77777777" w:rsidR="00010B25" w:rsidRPr="007B4AEB" w:rsidRDefault="00010B25" w:rsidP="00010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sz w:val="21"/>
          <w:szCs w:val="21"/>
          <w:lang w:val="fr-CA"/>
        </w:rPr>
      </w:pPr>
      <w:r w:rsidRPr="007B4AEB">
        <w:rPr>
          <w:rFonts w:cs="Calibri"/>
          <w:b/>
          <w:bCs/>
          <w:sz w:val="21"/>
          <w:szCs w:val="21"/>
          <w:lang w:val="fr-CA"/>
        </w:rPr>
        <w:t xml:space="preserve">Que faire en cas de réapparition des symptômes ? </w:t>
      </w:r>
      <w:r w:rsidRPr="007B4AEB">
        <w:rPr>
          <w:rFonts w:cs="Calibri"/>
          <w:sz w:val="21"/>
          <w:szCs w:val="21"/>
          <w:lang w:val="fr-CA"/>
        </w:rPr>
        <w:t xml:space="preserve">L’athlète qui a été autorisé à reprendre des activités physiques, la gymnastique ou des pratiques sans contact, et chez qui les symptômes réapparaissent, devrait immédiatement cesser l’activité et en informer son enseignant ou entraîneur. Si les symptômes disparaissent, l’athlète peut continuer à participer à ces activités en fonction de sa tolérance. </w:t>
      </w:r>
    </w:p>
    <w:p w14:paraId="42E90E79" w14:textId="77777777" w:rsidR="00010B25" w:rsidRPr="007B4AEB" w:rsidRDefault="00010B25" w:rsidP="00010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sz w:val="21"/>
          <w:szCs w:val="21"/>
          <w:lang w:val="fr-CA"/>
        </w:rPr>
      </w:pPr>
      <w:r w:rsidRPr="007B4AEB">
        <w:rPr>
          <w:rFonts w:cs="Calibri"/>
          <w:sz w:val="21"/>
          <w:szCs w:val="21"/>
          <w:lang w:val="fr-CA"/>
        </w:rPr>
        <w:t xml:space="preserve">Les athlètes que l’on a autorisé à pratiquer des activités ou des éducatifs de contact complet doivent pouvoir aller à l’école à temps plein (ou pratiquer des activités cognitives normales), ainsi que faire des exercices de grande résistance et d’endurance (dont des pratiques sans contact) sans que les symptômes ne réapparaissent. L’athlète qui a été autorisé à pratiquer des activités de contact complet ou des éducatifs complets, et chez qui les symptômes réapparaissent, devrait immédiatement cesser de jouer et en informer son enseignant ou entraîneur, puis faire l’objet d’une évaluation médicale par un médecin ou un infirmier praticien avant de reprendre les activités ou éducatifs avec contact complet. </w:t>
      </w:r>
    </w:p>
    <w:p w14:paraId="15C5F2E4" w14:textId="77777777" w:rsidR="007941AC" w:rsidRPr="007941AC" w:rsidRDefault="007941AC" w:rsidP="00794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sz w:val="21"/>
          <w:szCs w:val="21"/>
          <w:lang w:val="fr-CA"/>
        </w:rPr>
      </w:pPr>
      <w:r w:rsidRPr="007941AC">
        <w:rPr>
          <w:rFonts w:cs="Calibri"/>
          <w:sz w:val="21"/>
          <w:szCs w:val="21"/>
          <w:lang w:val="fr-CA"/>
        </w:rPr>
        <w:t>Si on soupçonne que l’athlète a subi une nouvelle commotion cérébrale, il faut suivre le PPCCBFRC, en commençant par l’examen médical.</w:t>
      </w:r>
    </w:p>
    <w:p w14:paraId="73A957D1" w14:textId="278CC9A8" w:rsidR="0073527F" w:rsidRPr="007B4AEB" w:rsidRDefault="00802EE8" w:rsidP="00AA4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Calibri"/>
          <w:sz w:val="21"/>
          <w:szCs w:val="21"/>
          <w:lang w:val="fr-CA"/>
        </w:rPr>
      </w:pPr>
      <w:r w:rsidRPr="007B4AEB">
        <w:rPr>
          <w:rFonts w:cs="Calibri"/>
          <w:sz w:val="21"/>
          <w:szCs w:val="21"/>
          <w:lang w:val="fr-CA"/>
        </w:rPr>
        <w:t>Autres</w:t>
      </w:r>
      <w:r w:rsidR="0073527F" w:rsidRPr="007B4AEB">
        <w:rPr>
          <w:rFonts w:cs="Calibri"/>
          <w:sz w:val="21"/>
          <w:szCs w:val="21"/>
          <w:lang w:val="fr-CA"/>
        </w:rPr>
        <w:t xml:space="preserve"> comment</w:t>
      </w:r>
      <w:r w:rsidRPr="007B4AEB">
        <w:rPr>
          <w:rFonts w:cs="Calibri"/>
          <w:sz w:val="21"/>
          <w:szCs w:val="21"/>
          <w:lang w:val="fr-CA"/>
        </w:rPr>
        <w:t>aire</w:t>
      </w:r>
      <w:r w:rsidR="0073527F" w:rsidRPr="007B4AEB">
        <w:rPr>
          <w:rFonts w:cs="Calibri"/>
          <w:sz w:val="21"/>
          <w:szCs w:val="21"/>
          <w:lang w:val="fr-CA"/>
        </w:rPr>
        <w:t>s</w:t>
      </w:r>
      <w:r w:rsidR="00C21386" w:rsidRPr="007B4AEB">
        <w:rPr>
          <w:rFonts w:cs="Calibri"/>
          <w:sz w:val="21"/>
          <w:szCs w:val="21"/>
          <w:lang w:val="fr-CA"/>
        </w:rPr>
        <w:t xml:space="preserve"> </w:t>
      </w:r>
      <w:r w:rsidR="0073527F" w:rsidRPr="007B4AEB">
        <w:rPr>
          <w:rFonts w:cs="Calibri"/>
          <w:sz w:val="21"/>
          <w:szCs w:val="21"/>
          <w:lang w:val="fr-CA"/>
        </w:rPr>
        <w:t xml:space="preserve">: </w:t>
      </w:r>
    </w:p>
    <w:p w14:paraId="429AEB68" w14:textId="4618DC1A" w:rsidR="0073527F" w:rsidRPr="007B4AEB" w:rsidRDefault="0073527F" w:rsidP="009D7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Calibri"/>
          <w:sz w:val="21"/>
          <w:szCs w:val="21"/>
          <w:lang w:val="fr-CA"/>
        </w:rPr>
      </w:pPr>
      <w:r w:rsidRPr="007B4AEB">
        <w:rPr>
          <w:rFonts w:cs="Calibri"/>
          <w:sz w:val="21"/>
          <w:szCs w:val="21"/>
          <w:lang w:val="fr-CA"/>
        </w:rPr>
        <w:t>_____________________________________________________________</w:t>
      </w:r>
      <w:r w:rsidR="000F671B" w:rsidRPr="007B4AEB">
        <w:rPr>
          <w:rFonts w:cs="Calibri"/>
          <w:sz w:val="21"/>
          <w:szCs w:val="21"/>
          <w:lang w:val="fr-CA"/>
        </w:rPr>
        <w:t>_________________</w:t>
      </w:r>
      <w:r w:rsidR="00711535" w:rsidRPr="007B4AEB">
        <w:rPr>
          <w:rFonts w:cs="Calibri"/>
          <w:sz w:val="21"/>
          <w:szCs w:val="21"/>
          <w:lang w:val="fr-CA"/>
        </w:rPr>
        <w:t>_</w:t>
      </w:r>
      <w:r w:rsidR="00AA45FD">
        <w:rPr>
          <w:rFonts w:cs="Calibri"/>
          <w:sz w:val="21"/>
          <w:szCs w:val="21"/>
          <w:lang w:val="fr-CA"/>
        </w:rPr>
        <w:t>____</w:t>
      </w:r>
      <w:r w:rsidR="00711535" w:rsidRPr="007B4AEB">
        <w:rPr>
          <w:rFonts w:cs="Calibri"/>
          <w:sz w:val="21"/>
          <w:szCs w:val="21"/>
          <w:lang w:val="fr-CA"/>
        </w:rPr>
        <w:t>___</w:t>
      </w:r>
      <w:r w:rsidR="000F671B" w:rsidRPr="007B4AEB">
        <w:rPr>
          <w:rFonts w:cs="Calibri"/>
          <w:sz w:val="21"/>
          <w:szCs w:val="21"/>
          <w:lang w:val="fr-CA"/>
        </w:rPr>
        <w:t>__</w:t>
      </w:r>
    </w:p>
    <w:p w14:paraId="4C45BFA2" w14:textId="42C0B40D" w:rsidR="0073527F" w:rsidRPr="007B4AEB" w:rsidRDefault="0073527F" w:rsidP="009D7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Calibri"/>
          <w:sz w:val="21"/>
          <w:szCs w:val="21"/>
          <w:lang w:val="fr-CA"/>
        </w:rPr>
      </w:pPr>
      <w:r w:rsidRPr="007B4AEB">
        <w:rPr>
          <w:rFonts w:cs="Calibri"/>
          <w:sz w:val="21"/>
          <w:szCs w:val="21"/>
          <w:lang w:val="fr-CA"/>
        </w:rPr>
        <w:t>_____________________________________________________________</w:t>
      </w:r>
      <w:r w:rsidR="00711535" w:rsidRPr="007B4AEB">
        <w:rPr>
          <w:rFonts w:cs="Calibri"/>
          <w:sz w:val="21"/>
          <w:szCs w:val="21"/>
          <w:lang w:val="fr-CA"/>
        </w:rPr>
        <w:t>______________________</w:t>
      </w:r>
      <w:r w:rsidR="00AA45FD">
        <w:rPr>
          <w:rFonts w:cs="Calibri"/>
          <w:sz w:val="21"/>
          <w:szCs w:val="21"/>
          <w:lang w:val="fr-CA"/>
        </w:rPr>
        <w:t>____</w:t>
      </w:r>
      <w:r w:rsidR="00711535" w:rsidRPr="007B4AEB">
        <w:rPr>
          <w:rFonts w:cs="Calibri"/>
          <w:sz w:val="21"/>
          <w:szCs w:val="21"/>
          <w:lang w:val="fr-CA"/>
        </w:rPr>
        <w:t>_</w:t>
      </w:r>
    </w:p>
    <w:p w14:paraId="106D3235" w14:textId="77777777" w:rsidR="00C21386" w:rsidRPr="007B4AEB" w:rsidRDefault="00C21386" w:rsidP="00C21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1"/>
          <w:szCs w:val="21"/>
          <w:lang w:val="fr-CA"/>
        </w:rPr>
      </w:pPr>
      <w:r w:rsidRPr="007B4AEB">
        <w:rPr>
          <w:rFonts w:cs="Calibri"/>
          <w:sz w:val="21"/>
          <w:szCs w:val="21"/>
          <w:lang w:val="fr-CA"/>
        </w:rPr>
        <w:t>Nous vous remercions d’avance pour votre compréhension.</w:t>
      </w:r>
    </w:p>
    <w:p w14:paraId="3EFA66FC" w14:textId="3685D7F3" w:rsidR="00C21386" w:rsidRPr="007B4AEB" w:rsidRDefault="00C21386" w:rsidP="00C21386">
      <w:pPr>
        <w:pStyle w:val="NoSpacing"/>
        <w:rPr>
          <w:sz w:val="16"/>
          <w:szCs w:val="21"/>
          <w:lang w:val="fr-CA"/>
        </w:rPr>
      </w:pPr>
    </w:p>
    <w:p w14:paraId="0A64D428" w14:textId="3986453F" w:rsidR="0073527F" w:rsidRPr="009D7071" w:rsidRDefault="00C21386" w:rsidP="00C23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14"/>
          <w:szCs w:val="22"/>
          <w:lang w:val="fr-CA"/>
        </w:rPr>
      </w:pPr>
      <w:r w:rsidRPr="007B4AEB">
        <w:rPr>
          <w:rFonts w:cs="Calibri"/>
          <w:sz w:val="21"/>
          <w:szCs w:val="21"/>
          <w:lang w:val="fr-CA"/>
        </w:rPr>
        <w:t>Cordialement</w:t>
      </w:r>
      <w:r w:rsidRPr="00EA0DDA">
        <w:rPr>
          <w:rFonts w:cs="Calibri"/>
          <w:sz w:val="22"/>
          <w:szCs w:val="22"/>
          <w:lang w:val="fr-CA"/>
        </w:rPr>
        <w:t>,</w:t>
      </w:r>
      <w:r w:rsidR="00AA45FD">
        <w:rPr>
          <w:rFonts w:cs="Calibri"/>
          <w:sz w:val="22"/>
          <w:szCs w:val="22"/>
          <w:lang w:val="fr-CA"/>
        </w:rPr>
        <w:br/>
      </w:r>
    </w:p>
    <w:p w14:paraId="3AEA46E2" w14:textId="421DAACF" w:rsidR="000F671B" w:rsidRPr="007B4AEB" w:rsidRDefault="00EC7265" w:rsidP="0048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cs="Calibri"/>
          <w:sz w:val="21"/>
          <w:szCs w:val="21"/>
          <w:lang w:val="fr-CA"/>
        </w:rPr>
      </w:pPr>
      <w:r w:rsidRPr="007B4AEB">
        <w:rPr>
          <w:noProof/>
          <w:sz w:val="21"/>
          <w:szCs w:val="21"/>
          <w:lang w:val="en-CA" w:eastAsia="en-CA"/>
        </w:rPr>
        <mc:AlternateContent>
          <mc:Choice Requires="wps">
            <w:drawing>
              <wp:anchor distT="0" distB="0" distL="114300" distR="114300" simplePos="0" relativeHeight="251661312" behindDoc="0" locked="0" layoutInCell="1" allowOverlap="1" wp14:anchorId="32E527EC" wp14:editId="4A5120B0">
                <wp:simplePos x="0" y="0"/>
                <wp:positionH relativeFrom="column">
                  <wp:posOffset>-88900</wp:posOffset>
                </wp:positionH>
                <wp:positionV relativeFrom="paragraph">
                  <wp:posOffset>319895</wp:posOffset>
                </wp:positionV>
                <wp:extent cx="6509385" cy="496570"/>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6509385" cy="496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D14AD8" w14:textId="7DFEDAB8" w:rsidR="005D6D3E" w:rsidRPr="007941AC" w:rsidRDefault="005D6D3E">
                            <w:pPr>
                              <w:rPr>
                                <w:lang w:val="fr-FR"/>
                              </w:rPr>
                            </w:pPr>
                            <w:r w:rsidRPr="00C21386">
                              <w:rPr>
                                <w:rFonts w:cs="Calibri"/>
                                <w:i/>
                                <w:iCs/>
                                <w:sz w:val="18"/>
                                <w:szCs w:val="16"/>
                                <w:lang w:val="fr-CA"/>
                              </w:rPr>
                              <w:t>*En régions rurales ou nordiques, la Lettre confirmant le diagnostic médical peut être remplie par un infirmier ou une infirmière avec l’avis préalable d’un médecin ou d’un infirmier praticien. Les formulaires remplis par d’autres professionnels de la santé agrées ne devraient pas être autrement acceptés.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527EC" id="_x0000_t202" coordsize="21600,21600" o:spt="202" path="m,l,21600r21600,l21600,xe">
                <v:stroke joinstyle="miter"/>
                <v:path gradientshapeok="t" o:connecttype="rect"/>
              </v:shapetype>
              <v:shape id="Text Box 2" o:spid="_x0000_s1026" type="#_x0000_t202" style="position:absolute;margin-left:-7pt;margin-top:25.2pt;width:512.55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B1rAIAAKM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" filled="f" stroked="f">
                <v:textbox>
                  <w:txbxContent>
                    <w:p w14:paraId="16D14AD8" w14:textId="7DFEDAB8" w:rsidR="005D6D3E" w:rsidRPr="007941AC" w:rsidRDefault="005D6D3E">
                      <w:pPr>
                        <w:rPr>
                          <w:lang w:val="fr-FR"/>
                        </w:rPr>
                      </w:pPr>
                      <w:r w:rsidRPr="00C21386">
                        <w:rPr>
                          <w:rFonts w:cs="Calibri"/>
                          <w:i/>
                          <w:iCs/>
                          <w:sz w:val="18"/>
                          <w:szCs w:val="16"/>
                          <w:lang w:val="fr-CA"/>
                        </w:rPr>
                        <w:t>*En régions rurales ou nordiques, la Lettre confirmant le diagnostic médical peut être remplie par un infirmier ou une infirmière avec l’avis préalable d’un médecin ou d’un infirmier praticien. Les formulaires remplis par d’autres professionnels de la santé agrées ne devraient pas être autrement acceptés.</w:t>
                      </w:r>
                    </w:p>
                  </w:txbxContent>
                </v:textbox>
              </v:shape>
            </w:pict>
          </mc:Fallback>
        </mc:AlternateContent>
      </w:r>
      <w:r w:rsidR="009D7071" w:rsidRPr="007B4AEB">
        <w:rPr>
          <w:rFonts w:cs="Calibri"/>
          <w:noProof/>
          <w:sz w:val="21"/>
          <w:szCs w:val="21"/>
          <w:lang w:val="en-CA" w:eastAsia="en-CA"/>
        </w:rPr>
        <mc:AlternateContent>
          <mc:Choice Requires="wps">
            <w:drawing>
              <wp:anchor distT="0" distB="0" distL="114300" distR="114300" simplePos="0" relativeHeight="251660288" behindDoc="0" locked="0" layoutInCell="1" allowOverlap="1" wp14:anchorId="5EEA50DA" wp14:editId="072EA96F">
                <wp:simplePos x="0" y="0"/>
                <wp:positionH relativeFrom="margin">
                  <wp:posOffset>478155</wp:posOffset>
                </wp:positionH>
                <wp:positionV relativeFrom="paragraph">
                  <wp:posOffset>772940</wp:posOffset>
                </wp:positionV>
                <wp:extent cx="5347970" cy="288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47970" cy="288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C0F845" w14:textId="62AB6B39" w:rsidR="005D6D3E" w:rsidRPr="007941AC" w:rsidRDefault="005D6D3E" w:rsidP="006221A8">
                            <w:pPr>
                              <w:jc w:val="center"/>
                              <w:rPr>
                                <w:b/>
                                <w:color w:val="808080" w:themeColor="background1" w:themeShade="80"/>
                                <w:sz w:val="22"/>
                                <w:lang w:val="fr-FR"/>
                              </w:rPr>
                            </w:pPr>
                            <w:r w:rsidRPr="007941AC">
                              <w:rPr>
                                <w:b/>
                                <w:bCs/>
                                <w:color w:val="808080" w:themeColor="background1" w:themeShade="80"/>
                                <w:sz w:val="22"/>
                                <w:lang w:val="fr-FR"/>
                              </w:rPr>
                              <w:t xml:space="preserve">Nous recommandons que ce document soit fourni </w:t>
                            </w:r>
                            <w:proofErr w:type="gramStart"/>
                            <w:r w:rsidRPr="007941AC">
                              <w:rPr>
                                <w:b/>
                                <w:bCs/>
                                <w:color w:val="808080" w:themeColor="background1" w:themeShade="80"/>
                                <w:sz w:val="22"/>
                                <w:lang w:val="fr-FR"/>
                              </w:rPr>
                              <w:t>au athlète</w:t>
                            </w:r>
                            <w:proofErr w:type="gramEnd"/>
                            <w:r w:rsidRPr="007941AC">
                              <w:rPr>
                                <w:b/>
                                <w:bCs/>
                                <w:color w:val="808080" w:themeColor="background1" w:themeShade="80"/>
                                <w:sz w:val="22"/>
                                <w:lang w:val="fr-FR"/>
                              </w:rPr>
                              <w:t xml:space="preserve"> sans frais</w:t>
                            </w:r>
                            <w:r w:rsidRPr="007941AC">
                              <w:rPr>
                                <w:b/>
                                <w:color w:val="808080" w:themeColor="background1" w:themeShade="80"/>
                                <w:sz w:val="22"/>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EA50DA" id="Text Box 1" o:spid="_x0000_s1027" type="#_x0000_t202" style="position:absolute;margin-left:37.65pt;margin-top:60.85pt;width:421.1pt;height:22.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LqgIAAKo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" filled="f" stroked="f">
                <v:textbox>
                  <w:txbxContent>
                    <w:p w14:paraId="44C0F845" w14:textId="62AB6B39" w:rsidR="005D6D3E" w:rsidRPr="007941AC" w:rsidRDefault="005D6D3E" w:rsidP="006221A8">
                      <w:pPr>
                        <w:jc w:val="center"/>
                        <w:rPr>
                          <w:b/>
                          <w:color w:val="808080" w:themeColor="background1" w:themeShade="80"/>
                          <w:sz w:val="22"/>
                          <w:lang w:val="fr-FR"/>
                        </w:rPr>
                      </w:pPr>
                      <w:r w:rsidRPr="007941AC">
                        <w:rPr>
                          <w:b/>
                          <w:bCs/>
                          <w:color w:val="808080" w:themeColor="background1" w:themeShade="80"/>
                          <w:sz w:val="22"/>
                          <w:lang w:val="fr-FR"/>
                        </w:rPr>
                        <w:t xml:space="preserve">Nous recommandons que ce document soit fourni </w:t>
                      </w:r>
                      <w:proofErr w:type="gramStart"/>
                      <w:r w:rsidRPr="007941AC">
                        <w:rPr>
                          <w:b/>
                          <w:bCs/>
                          <w:color w:val="808080" w:themeColor="background1" w:themeShade="80"/>
                          <w:sz w:val="22"/>
                          <w:lang w:val="fr-FR"/>
                        </w:rPr>
                        <w:t>au athlète</w:t>
                      </w:r>
                      <w:proofErr w:type="gramEnd"/>
                      <w:r w:rsidRPr="007941AC">
                        <w:rPr>
                          <w:b/>
                          <w:bCs/>
                          <w:color w:val="808080" w:themeColor="background1" w:themeShade="80"/>
                          <w:sz w:val="22"/>
                          <w:lang w:val="fr-FR"/>
                        </w:rPr>
                        <w:t xml:space="preserve"> sans frais</w:t>
                      </w:r>
                      <w:r w:rsidRPr="007941AC">
                        <w:rPr>
                          <w:b/>
                          <w:color w:val="808080" w:themeColor="background1" w:themeShade="80"/>
                          <w:sz w:val="22"/>
                          <w:lang w:val="fr-FR"/>
                        </w:rPr>
                        <w:t>.</w:t>
                      </w:r>
                    </w:p>
                  </w:txbxContent>
                </v:textbox>
                <w10:wrap anchorx="margin"/>
              </v:shape>
            </w:pict>
          </mc:Fallback>
        </mc:AlternateContent>
      </w:r>
      <w:r w:rsidR="00C21386" w:rsidRPr="007B4AEB">
        <w:rPr>
          <w:rFonts w:cs="Calibri"/>
          <w:sz w:val="21"/>
          <w:szCs w:val="21"/>
          <w:lang w:val="fr-CA"/>
        </w:rPr>
        <w:t>Signature/</w:t>
      </w:r>
      <w:r w:rsidR="00C21386" w:rsidRPr="007B4AEB">
        <w:rPr>
          <w:rFonts w:cs="Calibri"/>
          <w:color w:val="000000"/>
          <w:sz w:val="21"/>
          <w:szCs w:val="21"/>
          <w:lang w:val="fr-CA"/>
        </w:rPr>
        <w:t xml:space="preserve"> </w:t>
      </w:r>
      <w:r w:rsidR="00C21386" w:rsidRPr="007B4AEB">
        <w:rPr>
          <w:rFonts w:cs="Calibri"/>
          <w:sz w:val="21"/>
          <w:szCs w:val="21"/>
          <w:lang w:val="fr-CA"/>
        </w:rPr>
        <w:t xml:space="preserve">lettres moulées </w:t>
      </w:r>
      <w:r w:rsidR="0073527F" w:rsidRPr="007B4AEB">
        <w:rPr>
          <w:rFonts w:cs="Calibri"/>
          <w:sz w:val="21"/>
          <w:szCs w:val="21"/>
          <w:lang w:val="fr-CA"/>
        </w:rPr>
        <w:t>______________</w:t>
      </w:r>
      <w:r w:rsidR="0092620E">
        <w:rPr>
          <w:rFonts w:cs="Calibri"/>
          <w:sz w:val="21"/>
          <w:szCs w:val="21"/>
          <w:lang w:val="fr-CA"/>
        </w:rPr>
        <w:t>___________________</w:t>
      </w:r>
      <w:r w:rsidR="00BD6950" w:rsidRPr="007B4AEB">
        <w:rPr>
          <w:rFonts w:cs="Calibri"/>
          <w:sz w:val="21"/>
          <w:szCs w:val="21"/>
          <w:lang w:val="fr-CA"/>
        </w:rPr>
        <w:t xml:space="preserve">_________ </w:t>
      </w:r>
      <w:r w:rsidR="00C21386" w:rsidRPr="007B4AEB">
        <w:rPr>
          <w:rFonts w:cs="Calibri"/>
          <w:sz w:val="21"/>
          <w:szCs w:val="21"/>
          <w:lang w:val="fr-CA"/>
        </w:rPr>
        <w:t>Médecin/Infirmier praticien. (Encercler la dé</w:t>
      </w:r>
      <w:r w:rsidR="0073527F" w:rsidRPr="007B4AEB">
        <w:rPr>
          <w:rFonts w:cs="Calibri"/>
          <w:sz w:val="21"/>
          <w:szCs w:val="21"/>
          <w:lang w:val="fr-CA"/>
        </w:rPr>
        <w:t>signation</w:t>
      </w:r>
      <w:r w:rsidR="00C21386" w:rsidRPr="007B4AEB">
        <w:rPr>
          <w:rFonts w:cs="Calibri"/>
          <w:sz w:val="21"/>
          <w:szCs w:val="21"/>
          <w:lang w:val="fr-CA"/>
        </w:rPr>
        <w:t xml:space="preserve"> qui convient</w:t>
      </w:r>
      <w:r w:rsidR="0073527F" w:rsidRPr="007B4AEB">
        <w:rPr>
          <w:rFonts w:cs="Calibri"/>
          <w:sz w:val="21"/>
          <w:szCs w:val="21"/>
          <w:lang w:val="fr-CA"/>
        </w:rPr>
        <w:t>)*</w:t>
      </w:r>
      <w:r w:rsidR="001B1420" w:rsidRPr="007B4AEB">
        <w:rPr>
          <w:rFonts w:cs="Calibri"/>
          <w:i/>
          <w:iCs/>
          <w:sz w:val="21"/>
          <w:szCs w:val="21"/>
          <w:lang w:val="fr-CA"/>
        </w:rPr>
        <w:br/>
      </w:r>
      <w:r w:rsidR="000F671B" w:rsidRPr="007B4AEB">
        <w:rPr>
          <w:rFonts w:cs="Calibri"/>
          <w:b/>
          <w:bCs/>
          <w:sz w:val="21"/>
          <w:szCs w:val="21"/>
          <w:lang w:val="fr-CA"/>
        </w:rPr>
        <w:br w:type="page"/>
      </w:r>
    </w:p>
    <w:p w14:paraId="65C52E24" w14:textId="77777777" w:rsidR="007941AC" w:rsidRPr="007941AC" w:rsidRDefault="007941AC" w:rsidP="007941AC">
      <w:pPr>
        <w:spacing w:after="120"/>
        <w:rPr>
          <w:b/>
          <w:i/>
          <w:lang w:val="fr-FR"/>
        </w:rPr>
      </w:pPr>
      <w:r w:rsidRPr="007941AC">
        <w:rPr>
          <w:b/>
          <w:i/>
          <w:lang w:val="fr-FR"/>
        </w:rPr>
        <w:lastRenderedPageBreak/>
        <w:t>Stratégie de retour à l’école</w:t>
      </w:r>
    </w:p>
    <w:p w14:paraId="5888046D" w14:textId="77777777" w:rsidR="007941AC" w:rsidRPr="007941AC" w:rsidRDefault="007941AC" w:rsidP="007941AC">
      <w:pPr>
        <w:rPr>
          <w:rFonts w:cs="Arial"/>
          <w:lang w:val="fr-FR"/>
        </w:rPr>
      </w:pPr>
      <w:r w:rsidRPr="007941AC">
        <w:rPr>
          <w:lang w:val="fr-FR"/>
        </w:rPr>
        <w:t xml:space="preserve">La section suivante présente la </w:t>
      </w:r>
      <w:r w:rsidRPr="007941AC">
        <w:rPr>
          <w:i/>
          <w:lang w:val="fr-FR"/>
        </w:rPr>
        <w:t>stratégie de retour à l’école</w:t>
      </w:r>
      <w:r w:rsidRPr="007941AC">
        <w:rPr>
          <w:lang w:val="fr-FR"/>
        </w:rPr>
        <w:t xml:space="preserve"> à appliquer pour aider les étudiants-athlètes, leurs parents et leurs professeurs à travailler ensemble pour faciliter un retour progressif aux études. Une période initiale de repos de 24 à 48 heures est recommandée avant d’amorcer la</w:t>
      </w:r>
      <w:r w:rsidRPr="007941AC">
        <w:rPr>
          <w:rFonts w:cs="Arial"/>
          <w:i/>
          <w:lang w:val="fr-FR"/>
        </w:rPr>
        <w:t xml:space="preserve"> Stratégie de retour à l’école</w:t>
      </w:r>
      <w:r w:rsidRPr="007941AC">
        <w:rPr>
          <w:i/>
          <w:lang w:val="fr-FR"/>
        </w:rPr>
        <w:t>.</w:t>
      </w:r>
      <w:r w:rsidRPr="007941AC">
        <w:rPr>
          <w:lang w:val="fr-FR"/>
        </w:rPr>
        <w:t xml:space="preserve"> </w:t>
      </w:r>
      <w:r w:rsidRPr="007941AC">
        <w:rPr>
          <w:rFonts w:cs="Arial"/>
          <w:lang w:val="fr-FR"/>
        </w:rPr>
        <w:t>L’étudiant-athlète devrait passer au moins 24 heures sans aggravation des symptômes, à chaque étape, avant de passer à la suivante.</w:t>
      </w:r>
      <w:r w:rsidRPr="007941AC">
        <w:rPr>
          <w:lang w:val="fr-FR"/>
        </w:rPr>
        <w:t xml:space="preserve"> Selon la gravité et la nature des symptômes de l’étudiant-athlète, son évolution à travers les différentes étapes peut être plus ou moins rapide. Si de nouveaux symptômes apparaissent ou que les symptômes existants s’aggravent, il est nécessaire de revenir à l’étape précédente, quelle qu’elle soit. Les athlètes doivent aussi être encouragés à demander à leur école si un programme de retour à l’apprentissage existe pour faciliter leur retour. </w:t>
      </w:r>
    </w:p>
    <w:p w14:paraId="751EB245" w14:textId="77777777" w:rsidR="007941AC" w:rsidRPr="007941AC" w:rsidRDefault="007941AC" w:rsidP="007941AC">
      <w:pPr>
        <w:rPr>
          <w:rFonts w:cs="Arial"/>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1686"/>
        <w:gridCol w:w="3686"/>
        <w:gridCol w:w="2794"/>
      </w:tblGrid>
      <w:tr w:rsidR="007941AC" w:rsidRPr="00415F2C" w14:paraId="4FF7432B" w14:textId="77777777" w:rsidTr="009A46EF">
        <w:tc>
          <w:tcPr>
            <w:tcW w:w="690" w:type="dxa"/>
          </w:tcPr>
          <w:p w14:paraId="35A9F7C1" w14:textId="77777777" w:rsidR="007941AC" w:rsidRPr="00415F2C" w:rsidRDefault="007941AC" w:rsidP="009A46EF">
            <w:pPr>
              <w:rPr>
                <w:rFonts w:cs="Arial"/>
                <w:sz w:val="20"/>
              </w:rPr>
            </w:pPr>
            <w:proofErr w:type="spellStart"/>
            <w:r w:rsidRPr="00415F2C">
              <w:rPr>
                <w:b/>
                <w:color w:val="000000"/>
                <w:sz w:val="20"/>
              </w:rPr>
              <w:t>Étape</w:t>
            </w:r>
            <w:proofErr w:type="spellEnd"/>
          </w:p>
        </w:tc>
        <w:tc>
          <w:tcPr>
            <w:tcW w:w="1686" w:type="dxa"/>
          </w:tcPr>
          <w:p w14:paraId="54927629" w14:textId="77777777" w:rsidR="007941AC" w:rsidRPr="00415F2C" w:rsidRDefault="007941AC" w:rsidP="009A46EF">
            <w:pPr>
              <w:rPr>
                <w:rFonts w:cs="Arial"/>
                <w:sz w:val="20"/>
              </w:rPr>
            </w:pPr>
            <w:proofErr w:type="spellStart"/>
            <w:r w:rsidRPr="00415F2C">
              <w:rPr>
                <w:b/>
                <w:color w:val="000000"/>
                <w:sz w:val="20"/>
              </w:rPr>
              <w:t>Objectif</w:t>
            </w:r>
            <w:proofErr w:type="spellEnd"/>
          </w:p>
        </w:tc>
        <w:tc>
          <w:tcPr>
            <w:tcW w:w="3686" w:type="dxa"/>
          </w:tcPr>
          <w:p w14:paraId="11CBF4F0" w14:textId="77777777" w:rsidR="007941AC" w:rsidRPr="00415F2C" w:rsidRDefault="007941AC" w:rsidP="009A46EF">
            <w:pPr>
              <w:rPr>
                <w:rFonts w:cs="Arial"/>
                <w:sz w:val="20"/>
              </w:rPr>
            </w:pPr>
            <w:proofErr w:type="spellStart"/>
            <w:r w:rsidRPr="00415F2C">
              <w:rPr>
                <w:b/>
                <w:color w:val="000000"/>
                <w:sz w:val="20"/>
              </w:rPr>
              <w:t>Activité</w:t>
            </w:r>
            <w:proofErr w:type="spellEnd"/>
          </w:p>
        </w:tc>
        <w:tc>
          <w:tcPr>
            <w:tcW w:w="2794" w:type="dxa"/>
          </w:tcPr>
          <w:p w14:paraId="58806032" w14:textId="77777777" w:rsidR="007941AC" w:rsidRPr="00415F2C" w:rsidRDefault="007941AC" w:rsidP="009A46EF">
            <w:pPr>
              <w:rPr>
                <w:rFonts w:cs="Arial"/>
                <w:sz w:val="20"/>
              </w:rPr>
            </w:pPr>
            <w:proofErr w:type="spellStart"/>
            <w:r w:rsidRPr="00415F2C">
              <w:rPr>
                <w:b/>
                <w:color w:val="000000"/>
                <w:sz w:val="20"/>
              </w:rPr>
              <w:t>Objectif</w:t>
            </w:r>
            <w:proofErr w:type="spellEnd"/>
            <w:r w:rsidRPr="00415F2C">
              <w:rPr>
                <w:b/>
                <w:color w:val="000000"/>
                <w:sz w:val="20"/>
              </w:rPr>
              <w:t xml:space="preserve"> de </w:t>
            </w:r>
            <w:proofErr w:type="spellStart"/>
            <w:r w:rsidRPr="00415F2C">
              <w:rPr>
                <w:b/>
                <w:color w:val="000000"/>
                <w:sz w:val="20"/>
              </w:rPr>
              <w:t>chaque</w:t>
            </w:r>
            <w:proofErr w:type="spellEnd"/>
            <w:r w:rsidRPr="00415F2C">
              <w:rPr>
                <w:b/>
                <w:color w:val="000000"/>
                <w:sz w:val="20"/>
              </w:rPr>
              <w:t xml:space="preserve"> </w:t>
            </w:r>
            <w:proofErr w:type="spellStart"/>
            <w:r w:rsidRPr="00415F2C">
              <w:rPr>
                <w:b/>
                <w:color w:val="000000"/>
                <w:sz w:val="20"/>
              </w:rPr>
              <w:t>étape</w:t>
            </w:r>
            <w:proofErr w:type="spellEnd"/>
          </w:p>
        </w:tc>
      </w:tr>
      <w:tr w:rsidR="007941AC" w:rsidRPr="005D45D9" w14:paraId="678E7AFD" w14:textId="77777777" w:rsidTr="009A46EF">
        <w:tc>
          <w:tcPr>
            <w:tcW w:w="690" w:type="dxa"/>
          </w:tcPr>
          <w:p w14:paraId="5BD89CC4" w14:textId="77777777" w:rsidR="007941AC" w:rsidRPr="00415F2C" w:rsidRDefault="007941AC" w:rsidP="009A46EF">
            <w:pPr>
              <w:jc w:val="center"/>
              <w:rPr>
                <w:rFonts w:cs="Arial"/>
                <w:b/>
                <w:sz w:val="20"/>
                <w:szCs w:val="20"/>
              </w:rPr>
            </w:pPr>
            <w:r w:rsidRPr="00415F2C">
              <w:rPr>
                <w:b/>
                <w:sz w:val="20"/>
                <w:szCs w:val="20"/>
              </w:rPr>
              <w:t>1</w:t>
            </w:r>
          </w:p>
        </w:tc>
        <w:tc>
          <w:tcPr>
            <w:tcW w:w="1686" w:type="dxa"/>
          </w:tcPr>
          <w:p w14:paraId="2002E45F" w14:textId="77777777" w:rsidR="007941AC" w:rsidRPr="007941AC" w:rsidRDefault="007941AC" w:rsidP="009A46EF">
            <w:pPr>
              <w:rPr>
                <w:rFonts w:cs="Arial"/>
                <w:sz w:val="20"/>
                <w:szCs w:val="20"/>
                <w:lang w:val="fr-FR"/>
              </w:rPr>
            </w:pPr>
            <w:r w:rsidRPr="007941AC">
              <w:rPr>
                <w:sz w:val="20"/>
                <w:szCs w:val="20"/>
                <w:lang w:val="fr-FR"/>
              </w:rPr>
              <w:t>Activités quotidiennes à la maison qui ne causent pas de symptômes  à l’étudiant-athlète</w:t>
            </w:r>
          </w:p>
        </w:tc>
        <w:tc>
          <w:tcPr>
            <w:tcW w:w="3686" w:type="dxa"/>
          </w:tcPr>
          <w:p w14:paraId="29FFC9D5" w14:textId="77777777" w:rsidR="007941AC" w:rsidRPr="00415F2C" w:rsidRDefault="007941AC" w:rsidP="009A46EF">
            <w:pPr>
              <w:rPr>
                <w:rFonts w:cs="Arial"/>
                <w:sz w:val="20"/>
                <w:szCs w:val="20"/>
              </w:rPr>
            </w:pPr>
            <w:r w:rsidRPr="007941AC">
              <w:rPr>
                <w:sz w:val="20"/>
                <w:szCs w:val="20"/>
                <w:lang w:val="fr-FR"/>
              </w:rPr>
              <w:t xml:space="preserve">Activités fait habituellement pendant la journée tant qu’elles ne causent pas de symptômes (p. ex. : lecture, envoyer des messages textes, ordinateur/télévision). </w:t>
            </w:r>
            <w:r w:rsidRPr="00415F2C">
              <w:rPr>
                <w:sz w:val="20"/>
                <w:szCs w:val="20"/>
              </w:rPr>
              <w:t xml:space="preserve">Commencer par 5-15 minutes et augmenter </w:t>
            </w:r>
            <w:proofErr w:type="spellStart"/>
            <w:r w:rsidRPr="00415F2C">
              <w:rPr>
                <w:sz w:val="20"/>
                <w:szCs w:val="20"/>
              </w:rPr>
              <w:t>graduellement</w:t>
            </w:r>
            <w:proofErr w:type="spellEnd"/>
            <w:r w:rsidRPr="00415F2C">
              <w:rPr>
                <w:sz w:val="20"/>
                <w:szCs w:val="20"/>
              </w:rPr>
              <w:t>.</w:t>
            </w:r>
          </w:p>
        </w:tc>
        <w:tc>
          <w:tcPr>
            <w:tcW w:w="2794" w:type="dxa"/>
          </w:tcPr>
          <w:p w14:paraId="54EEC87E" w14:textId="77777777" w:rsidR="007941AC" w:rsidRPr="007941AC" w:rsidRDefault="007941AC" w:rsidP="009A46EF">
            <w:pPr>
              <w:rPr>
                <w:rFonts w:cs="Arial"/>
                <w:sz w:val="20"/>
                <w:szCs w:val="20"/>
                <w:lang w:val="fr-FR"/>
              </w:rPr>
            </w:pPr>
            <w:r w:rsidRPr="007941AC">
              <w:rPr>
                <w:sz w:val="20"/>
                <w:szCs w:val="20"/>
                <w:lang w:val="fr-FR"/>
              </w:rPr>
              <w:t xml:space="preserve">Reprise graduelle des activités habituelles </w:t>
            </w:r>
          </w:p>
        </w:tc>
      </w:tr>
      <w:tr w:rsidR="007941AC" w:rsidRPr="005D45D9" w14:paraId="1BAD042A" w14:textId="77777777" w:rsidTr="009A46EF">
        <w:tc>
          <w:tcPr>
            <w:tcW w:w="690" w:type="dxa"/>
          </w:tcPr>
          <w:p w14:paraId="6011275B" w14:textId="77777777" w:rsidR="007941AC" w:rsidRPr="00415F2C" w:rsidRDefault="007941AC" w:rsidP="009A46EF">
            <w:pPr>
              <w:jc w:val="center"/>
              <w:rPr>
                <w:rFonts w:cs="Arial"/>
                <w:sz w:val="20"/>
                <w:szCs w:val="20"/>
              </w:rPr>
            </w:pPr>
            <w:r w:rsidRPr="00415F2C">
              <w:rPr>
                <w:b/>
                <w:sz w:val="20"/>
                <w:szCs w:val="20"/>
              </w:rPr>
              <w:t>2</w:t>
            </w:r>
          </w:p>
        </w:tc>
        <w:tc>
          <w:tcPr>
            <w:tcW w:w="1686" w:type="dxa"/>
          </w:tcPr>
          <w:p w14:paraId="0D1FBA09" w14:textId="77777777" w:rsidR="007941AC" w:rsidRPr="00415F2C" w:rsidRDefault="007941AC" w:rsidP="009A46EF">
            <w:pPr>
              <w:rPr>
                <w:rFonts w:cs="Arial"/>
                <w:sz w:val="20"/>
                <w:szCs w:val="20"/>
              </w:rPr>
            </w:pPr>
            <w:proofErr w:type="spellStart"/>
            <w:r w:rsidRPr="00415F2C">
              <w:rPr>
                <w:sz w:val="20"/>
                <w:szCs w:val="20"/>
              </w:rPr>
              <w:t>Activités</w:t>
            </w:r>
            <w:proofErr w:type="spellEnd"/>
            <w:r w:rsidRPr="00415F2C">
              <w:rPr>
                <w:sz w:val="20"/>
                <w:szCs w:val="20"/>
              </w:rPr>
              <w:t xml:space="preserve"> </w:t>
            </w:r>
            <w:proofErr w:type="spellStart"/>
            <w:r w:rsidRPr="00415F2C">
              <w:rPr>
                <w:sz w:val="20"/>
                <w:szCs w:val="20"/>
              </w:rPr>
              <w:t>scolaires</w:t>
            </w:r>
            <w:proofErr w:type="spellEnd"/>
          </w:p>
        </w:tc>
        <w:tc>
          <w:tcPr>
            <w:tcW w:w="3686" w:type="dxa"/>
          </w:tcPr>
          <w:p w14:paraId="153094EF" w14:textId="77777777" w:rsidR="007941AC" w:rsidRPr="007941AC" w:rsidRDefault="007941AC" w:rsidP="009A46EF">
            <w:pPr>
              <w:rPr>
                <w:rFonts w:cs="Arial"/>
                <w:sz w:val="20"/>
                <w:szCs w:val="20"/>
                <w:lang w:val="fr-FR"/>
              </w:rPr>
            </w:pPr>
            <w:r w:rsidRPr="007941AC">
              <w:rPr>
                <w:sz w:val="20"/>
                <w:szCs w:val="20"/>
                <w:lang w:val="fr-FR"/>
              </w:rPr>
              <w:t xml:space="preserve">Devoirs, lecture ou autres activités cognitives en dehors de la salle de classe. </w:t>
            </w:r>
          </w:p>
        </w:tc>
        <w:tc>
          <w:tcPr>
            <w:tcW w:w="2794" w:type="dxa"/>
          </w:tcPr>
          <w:p w14:paraId="03CE4801" w14:textId="77777777" w:rsidR="007941AC" w:rsidRPr="007941AC" w:rsidRDefault="007941AC" w:rsidP="009A46EF">
            <w:pPr>
              <w:rPr>
                <w:rFonts w:cs="Arial"/>
                <w:sz w:val="20"/>
                <w:szCs w:val="20"/>
                <w:lang w:val="fr-FR"/>
              </w:rPr>
            </w:pPr>
            <w:r w:rsidRPr="007941AC">
              <w:rPr>
                <w:sz w:val="20"/>
                <w:szCs w:val="20"/>
                <w:lang w:val="fr-FR"/>
              </w:rPr>
              <w:t xml:space="preserve">Augmenter la tolérance aux activités cognitives </w:t>
            </w:r>
          </w:p>
        </w:tc>
      </w:tr>
      <w:tr w:rsidR="007941AC" w:rsidRPr="00415F2C" w14:paraId="2564A726" w14:textId="77777777" w:rsidTr="009A46EF">
        <w:tc>
          <w:tcPr>
            <w:tcW w:w="690" w:type="dxa"/>
          </w:tcPr>
          <w:p w14:paraId="578582C4" w14:textId="77777777" w:rsidR="007941AC" w:rsidRPr="00415F2C" w:rsidRDefault="007941AC" w:rsidP="009A46EF">
            <w:pPr>
              <w:jc w:val="center"/>
              <w:rPr>
                <w:rFonts w:cs="Arial"/>
                <w:sz w:val="20"/>
                <w:szCs w:val="20"/>
              </w:rPr>
            </w:pPr>
            <w:r w:rsidRPr="00415F2C">
              <w:rPr>
                <w:b/>
                <w:sz w:val="20"/>
                <w:szCs w:val="20"/>
              </w:rPr>
              <w:t>3</w:t>
            </w:r>
          </w:p>
        </w:tc>
        <w:tc>
          <w:tcPr>
            <w:tcW w:w="1686" w:type="dxa"/>
          </w:tcPr>
          <w:p w14:paraId="37F68C4B" w14:textId="77777777" w:rsidR="007941AC" w:rsidRPr="007941AC" w:rsidRDefault="007941AC" w:rsidP="009A46EF">
            <w:pPr>
              <w:rPr>
                <w:rFonts w:cs="Arial"/>
                <w:sz w:val="20"/>
                <w:szCs w:val="20"/>
                <w:lang w:val="fr-FR"/>
              </w:rPr>
            </w:pPr>
            <w:r w:rsidRPr="007941AC">
              <w:rPr>
                <w:sz w:val="20"/>
                <w:szCs w:val="20"/>
                <w:lang w:val="fr-FR"/>
              </w:rPr>
              <w:t>Reprise des études à temps partiel</w:t>
            </w:r>
          </w:p>
        </w:tc>
        <w:tc>
          <w:tcPr>
            <w:tcW w:w="3686" w:type="dxa"/>
          </w:tcPr>
          <w:p w14:paraId="0870F317" w14:textId="77777777" w:rsidR="007941AC" w:rsidRPr="007941AC" w:rsidRDefault="007941AC" w:rsidP="009A46EF">
            <w:pPr>
              <w:rPr>
                <w:rFonts w:cs="Arial"/>
                <w:sz w:val="20"/>
                <w:szCs w:val="20"/>
                <w:lang w:val="fr-FR"/>
              </w:rPr>
            </w:pPr>
            <w:r w:rsidRPr="007941AC">
              <w:rPr>
                <w:sz w:val="20"/>
                <w:szCs w:val="20"/>
                <w:lang w:val="fr-FR"/>
              </w:rPr>
              <w:t xml:space="preserve">Introduction graduelle du travail scolaire. Devra peut-être commencer par une journée scolaire partielle ou en faisant plus de pauses pendant la journée. </w:t>
            </w:r>
          </w:p>
        </w:tc>
        <w:tc>
          <w:tcPr>
            <w:tcW w:w="2794" w:type="dxa"/>
          </w:tcPr>
          <w:p w14:paraId="702A64A9" w14:textId="77777777" w:rsidR="007941AC" w:rsidRPr="00415F2C" w:rsidRDefault="007941AC" w:rsidP="009A46EF">
            <w:pPr>
              <w:rPr>
                <w:rFonts w:cs="Arial"/>
                <w:sz w:val="20"/>
                <w:szCs w:val="20"/>
              </w:rPr>
            </w:pPr>
            <w:r w:rsidRPr="00415F2C">
              <w:rPr>
                <w:sz w:val="20"/>
                <w:szCs w:val="20"/>
              </w:rPr>
              <w:t xml:space="preserve">Augmentation des </w:t>
            </w:r>
            <w:proofErr w:type="spellStart"/>
            <w:r w:rsidRPr="00415F2C">
              <w:rPr>
                <w:sz w:val="20"/>
                <w:szCs w:val="20"/>
              </w:rPr>
              <w:t>activités</w:t>
            </w:r>
            <w:proofErr w:type="spellEnd"/>
            <w:r w:rsidRPr="00415F2C">
              <w:rPr>
                <w:sz w:val="20"/>
                <w:szCs w:val="20"/>
              </w:rPr>
              <w:t xml:space="preserve"> </w:t>
            </w:r>
            <w:proofErr w:type="spellStart"/>
            <w:r w:rsidRPr="00415F2C">
              <w:rPr>
                <w:sz w:val="20"/>
                <w:szCs w:val="20"/>
              </w:rPr>
              <w:t>scolaires</w:t>
            </w:r>
            <w:proofErr w:type="spellEnd"/>
          </w:p>
        </w:tc>
      </w:tr>
      <w:tr w:rsidR="007941AC" w:rsidRPr="005D45D9" w14:paraId="7DDB9F72" w14:textId="77777777" w:rsidTr="009A46EF">
        <w:tc>
          <w:tcPr>
            <w:tcW w:w="690" w:type="dxa"/>
          </w:tcPr>
          <w:p w14:paraId="216D2B1B" w14:textId="77777777" w:rsidR="007941AC" w:rsidRPr="00415F2C" w:rsidRDefault="007941AC" w:rsidP="009A46EF">
            <w:pPr>
              <w:jc w:val="center"/>
              <w:rPr>
                <w:rFonts w:cs="Arial"/>
                <w:sz w:val="20"/>
                <w:szCs w:val="20"/>
              </w:rPr>
            </w:pPr>
            <w:r w:rsidRPr="00415F2C">
              <w:rPr>
                <w:b/>
                <w:sz w:val="20"/>
                <w:szCs w:val="20"/>
              </w:rPr>
              <w:t>4</w:t>
            </w:r>
          </w:p>
        </w:tc>
        <w:tc>
          <w:tcPr>
            <w:tcW w:w="1686" w:type="dxa"/>
          </w:tcPr>
          <w:p w14:paraId="741B7D87" w14:textId="77777777" w:rsidR="007941AC" w:rsidRPr="007941AC" w:rsidRDefault="007941AC" w:rsidP="009A46EF">
            <w:pPr>
              <w:rPr>
                <w:rFonts w:cs="Arial"/>
                <w:sz w:val="20"/>
                <w:szCs w:val="20"/>
                <w:lang w:val="fr-FR"/>
              </w:rPr>
            </w:pPr>
            <w:r w:rsidRPr="007941AC">
              <w:rPr>
                <w:sz w:val="20"/>
                <w:szCs w:val="20"/>
                <w:lang w:val="fr-FR"/>
              </w:rPr>
              <w:t>Reprise des études à plein temps</w:t>
            </w:r>
          </w:p>
        </w:tc>
        <w:tc>
          <w:tcPr>
            <w:tcW w:w="3686" w:type="dxa"/>
          </w:tcPr>
          <w:p w14:paraId="5DAB9243" w14:textId="77777777" w:rsidR="007941AC" w:rsidRPr="00415F2C" w:rsidRDefault="007941AC" w:rsidP="009A46EF">
            <w:pPr>
              <w:rPr>
                <w:rFonts w:cs="Arial"/>
                <w:sz w:val="20"/>
                <w:szCs w:val="20"/>
              </w:rPr>
            </w:pPr>
            <w:proofErr w:type="spellStart"/>
            <w:r w:rsidRPr="00415F2C">
              <w:rPr>
                <w:sz w:val="20"/>
                <w:szCs w:val="20"/>
              </w:rPr>
              <w:t>Progresser</w:t>
            </w:r>
            <w:proofErr w:type="spellEnd"/>
            <w:r w:rsidRPr="00415F2C">
              <w:rPr>
                <w:sz w:val="20"/>
                <w:szCs w:val="20"/>
              </w:rPr>
              <w:t xml:space="preserve"> de </w:t>
            </w:r>
            <w:proofErr w:type="spellStart"/>
            <w:r w:rsidRPr="00415F2C">
              <w:rPr>
                <w:sz w:val="20"/>
                <w:szCs w:val="20"/>
              </w:rPr>
              <w:t>manière</w:t>
            </w:r>
            <w:proofErr w:type="spellEnd"/>
            <w:r w:rsidRPr="00415F2C">
              <w:rPr>
                <w:sz w:val="20"/>
                <w:szCs w:val="20"/>
              </w:rPr>
              <w:t xml:space="preserve"> </w:t>
            </w:r>
            <w:proofErr w:type="spellStart"/>
            <w:r w:rsidRPr="00415F2C">
              <w:rPr>
                <w:sz w:val="20"/>
                <w:szCs w:val="20"/>
              </w:rPr>
              <w:t>graduelle</w:t>
            </w:r>
            <w:proofErr w:type="spellEnd"/>
            <w:r w:rsidRPr="00415F2C">
              <w:rPr>
                <w:sz w:val="20"/>
                <w:szCs w:val="20"/>
              </w:rPr>
              <w:t>.</w:t>
            </w:r>
          </w:p>
        </w:tc>
        <w:tc>
          <w:tcPr>
            <w:tcW w:w="2794" w:type="dxa"/>
          </w:tcPr>
          <w:p w14:paraId="1A16F5AD" w14:textId="77777777" w:rsidR="007941AC" w:rsidRPr="007941AC" w:rsidRDefault="007941AC" w:rsidP="009A46EF">
            <w:pPr>
              <w:rPr>
                <w:rFonts w:cs="Arial"/>
                <w:sz w:val="20"/>
                <w:szCs w:val="20"/>
                <w:lang w:val="fr-FR"/>
              </w:rPr>
            </w:pPr>
            <w:r w:rsidRPr="007941AC">
              <w:rPr>
                <w:sz w:val="20"/>
                <w:szCs w:val="20"/>
                <w:lang w:val="fr-FR"/>
              </w:rPr>
              <w:t xml:space="preserve">Retour complet aux activités scolaires sans restrictions et rattrapage des travaux scolaires </w:t>
            </w:r>
          </w:p>
        </w:tc>
      </w:tr>
    </w:tbl>
    <w:p w14:paraId="6D80E20E" w14:textId="77777777" w:rsidR="007941AC" w:rsidRPr="007941AC" w:rsidRDefault="007941AC" w:rsidP="007941AC">
      <w:pPr>
        <w:rPr>
          <w:rFonts w:cs="Arial"/>
          <w:sz w:val="15"/>
          <w:szCs w:val="15"/>
          <w:lang w:val="fr-FR"/>
        </w:rPr>
      </w:pPr>
      <w:proofErr w:type="spellStart"/>
      <w:r w:rsidRPr="007941AC">
        <w:rPr>
          <w:rFonts w:cs="Arial"/>
          <w:sz w:val="15"/>
          <w:szCs w:val="15"/>
          <w:lang w:val="fr-FR"/>
        </w:rPr>
        <w:t>McCrory</w:t>
      </w:r>
      <w:proofErr w:type="spellEnd"/>
      <w:r w:rsidRPr="007941AC">
        <w:rPr>
          <w:rFonts w:cs="Arial"/>
          <w:sz w:val="15"/>
          <w:szCs w:val="15"/>
          <w:lang w:val="fr-FR"/>
        </w:rPr>
        <w:t xml:space="preserve"> et coll. (2017). Énoncé de consensus sur les commotions cérébrales dans le sport – 5</w:t>
      </w:r>
      <w:r w:rsidRPr="007941AC">
        <w:rPr>
          <w:rFonts w:cs="Arial"/>
          <w:sz w:val="15"/>
          <w:szCs w:val="15"/>
          <w:vertAlign w:val="superscript"/>
          <w:lang w:val="fr-FR"/>
        </w:rPr>
        <w:t>e</w:t>
      </w:r>
      <w:r w:rsidRPr="007941AC">
        <w:rPr>
          <w:rFonts w:cs="Arial"/>
          <w:sz w:val="15"/>
          <w:szCs w:val="15"/>
          <w:lang w:val="fr-FR"/>
        </w:rPr>
        <w:t xml:space="preserve"> conférence internationale sur les commotions cérébrales dans le sport, Berlin, octobre 2016. </w:t>
      </w:r>
      <w:r w:rsidRPr="007941AC">
        <w:rPr>
          <w:rFonts w:cs="Arial"/>
          <w:i/>
          <w:iCs/>
          <w:sz w:val="15"/>
          <w:szCs w:val="15"/>
          <w:lang w:val="fr-FR"/>
        </w:rPr>
        <w:t>British Journal of Sports Medicine, 51</w:t>
      </w:r>
      <w:r w:rsidRPr="007941AC">
        <w:rPr>
          <w:rFonts w:cs="Arial"/>
          <w:sz w:val="15"/>
          <w:szCs w:val="15"/>
          <w:lang w:val="fr-FR"/>
        </w:rPr>
        <w:t>(11), 838-847.</w:t>
      </w:r>
    </w:p>
    <w:p w14:paraId="046D26DB" w14:textId="77777777" w:rsidR="007941AC" w:rsidRPr="007941AC" w:rsidRDefault="007941AC" w:rsidP="007941AC">
      <w:pPr>
        <w:rPr>
          <w:rFonts w:cs="Arial"/>
          <w:b/>
          <w:lang w:val="fr-FR"/>
        </w:rPr>
      </w:pPr>
    </w:p>
    <w:p w14:paraId="6A784518" w14:textId="77777777" w:rsidR="007941AC" w:rsidRPr="007941AC" w:rsidRDefault="007941AC" w:rsidP="007941AC">
      <w:pPr>
        <w:rPr>
          <w:rFonts w:cs="Arial"/>
          <w:b/>
          <w:lang w:val="fr-FR"/>
        </w:rPr>
      </w:pPr>
    </w:p>
    <w:p w14:paraId="22FFAA00" w14:textId="77777777" w:rsidR="007941AC" w:rsidRPr="007941AC" w:rsidRDefault="007941AC" w:rsidP="007941AC">
      <w:pPr>
        <w:spacing w:after="120"/>
        <w:rPr>
          <w:rFonts w:cs="Arial"/>
          <w:b/>
          <w:i/>
          <w:lang w:val="fr-FR"/>
        </w:rPr>
      </w:pPr>
      <w:r w:rsidRPr="007941AC">
        <w:rPr>
          <w:b/>
          <w:i/>
          <w:lang w:val="fr-FR"/>
        </w:rPr>
        <w:t>Stratégie de retour au sport spécifique à basketball en fauteuil roulant</w:t>
      </w:r>
    </w:p>
    <w:p w14:paraId="45297447" w14:textId="77777777" w:rsidR="007941AC" w:rsidRPr="007941AC" w:rsidRDefault="007941AC" w:rsidP="007941AC">
      <w:pPr>
        <w:pStyle w:val="ParagraphBody"/>
        <w:rPr>
          <w:rFonts w:cs="Arial"/>
          <w:lang w:val="fr-FR"/>
        </w:rPr>
      </w:pPr>
      <w:r w:rsidRPr="007941AC">
        <w:rPr>
          <w:lang w:val="fr-FR"/>
        </w:rPr>
        <w:t xml:space="preserve">La section suivante présente la stratégie de retour au sport (SRS) à appliquer pour aider les athlètes, leurs entraîneurs, les thérapeutes et les professionnels de la santé à collaborer pour aider l’athlète à reprendre graduellement des activités sportives. Une période initiale de 24 à 48 heures de repos est recommandée avant de mettre en œuvre la SRS. </w:t>
      </w:r>
      <w:r w:rsidRPr="007941AC">
        <w:rPr>
          <w:rFonts w:cs="Arial"/>
          <w:lang w:val="fr-FR"/>
        </w:rPr>
        <w:t>L'athlète devrait passer une durée minimale de 24 heures à chaque étape sans aggravation des symptômes avant de passer à la suivante.</w:t>
      </w:r>
      <w:r w:rsidRPr="007941AC">
        <w:rPr>
          <w:lang w:val="fr-FR"/>
        </w:rPr>
        <w:t xml:space="preserve"> Si l’athlète ressent de nouveaux symptômes ou si les symptômes s’aggravent à n’importe quelle étape, l’athlète devrait revenir à l’étape précédente. Il est important que les athlètes qui suivent des études, qu’ils soient jeunes ou d’âge adulte, reprennent leurs études à temps plein avant de passer aux étapes 5 et 6 de la SRS. Il est également important que tous les athlètes fournissent à leur entraîneur une </w:t>
      </w:r>
      <w:r w:rsidRPr="007941AC">
        <w:rPr>
          <w:i/>
          <w:lang w:val="fr-FR"/>
        </w:rPr>
        <w:t>Lettre d’autorisation médicale</w:t>
      </w:r>
      <w:r w:rsidRPr="007941AC">
        <w:rPr>
          <w:lang w:val="fr-FR"/>
        </w:rPr>
        <w:t xml:space="preserve"> avant de reprendre un sport de contact sans restriction.  </w:t>
      </w:r>
    </w:p>
    <w:p w14:paraId="625E9D0F" w14:textId="77777777" w:rsidR="007941AC" w:rsidRPr="007941AC" w:rsidRDefault="007941AC" w:rsidP="007941AC">
      <w:pPr>
        <w:pStyle w:val="ParagraphBody"/>
        <w:rPr>
          <w:lang w:val="fr-F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1559"/>
        <w:gridCol w:w="3969"/>
        <w:gridCol w:w="2677"/>
      </w:tblGrid>
      <w:tr w:rsidR="007941AC" w:rsidRPr="00415F2C" w14:paraId="2B689EB1" w14:textId="77777777" w:rsidTr="009A46EF">
        <w:tc>
          <w:tcPr>
            <w:tcW w:w="692" w:type="dxa"/>
          </w:tcPr>
          <w:p w14:paraId="62BC3D69" w14:textId="77777777" w:rsidR="007941AC" w:rsidRPr="00415F2C" w:rsidRDefault="007941AC" w:rsidP="009A46EF">
            <w:pPr>
              <w:rPr>
                <w:rFonts w:cs="Arial"/>
                <w:b/>
                <w:color w:val="000000"/>
                <w:sz w:val="20"/>
                <w:szCs w:val="20"/>
              </w:rPr>
            </w:pPr>
            <w:proofErr w:type="spellStart"/>
            <w:r w:rsidRPr="00415F2C">
              <w:rPr>
                <w:b/>
                <w:color w:val="000000"/>
                <w:sz w:val="20"/>
                <w:szCs w:val="20"/>
              </w:rPr>
              <w:t>Étape</w:t>
            </w:r>
            <w:proofErr w:type="spellEnd"/>
          </w:p>
        </w:tc>
        <w:tc>
          <w:tcPr>
            <w:tcW w:w="1559" w:type="dxa"/>
          </w:tcPr>
          <w:p w14:paraId="6A8CD3BD" w14:textId="77777777" w:rsidR="007941AC" w:rsidRPr="00415F2C" w:rsidRDefault="007941AC" w:rsidP="009A46EF">
            <w:pPr>
              <w:rPr>
                <w:rFonts w:cs="Arial"/>
                <w:b/>
                <w:color w:val="000000"/>
                <w:sz w:val="20"/>
                <w:szCs w:val="20"/>
              </w:rPr>
            </w:pPr>
            <w:proofErr w:type="spellStart"/>
            <w:r w:rsidRPr="00415F2C">
              <w:rPr>
                <w:b/>
                <w:color w:val="000000"/>
                <w:sz w:val="20"/>
                <w:szCs w:val="20"/>
              </w:rPr>
              <w:t>Objectif</w:t>
            </w:r>
            <w:proofErr w:type="spellEnd"/>
          </w:p>
        </w:tc>
        <w:tc>
          <w:tcPr>
            <w:tcW w:w="3969" w:type="dxa"/>
          </w:tcPr>
          <w:p w14:paraId="37A3D765" w14:textId="77777777" w:rsidR="007941AC" w:rsidRPr="00415F2C" w:rsidRDefault="007941AC" w:rsidP="009A46EF">
            <w:pPr>
              <w:rPr>
                <w:rFonts w:cs="Arial"/>
                <w:b/>
                <w:color w:val="000000"/>
                <w:sz w:val="20"/>
                <w:szCs w:val="20"/>
              </w:rPr>
            </w:pPr>
            <w:proofErr w:type="spellStart"/>
            <w:r w:rsidRPr="00415F2C">
              <w:rPr>
                <w:b/>
                <w:color w:val="000000"/>
                <w:sz w:val="20"/>
                <w:szCs w:val="20"/>
              </w:rPr>
              <w:t>Activité</w:t>
            </w:r>
            <w:proofErr w:type="spellEnd"/>
          </w:p>
        </w:tc>
        <w:tc>
          <w:tcPr>
            <w:tcW w:w="2677" w:type="dxa"/>
          </w:tcPr>
          <w:p w14:paraId="238B2073" w14:textId="77777777" w:rsidR="007941AC" w:rsidRPr="00415F2C" w:rsidRDefault="007941AC" w:rsidP="009A46EF">
            <w:pPr>
              <w:rPr>
                <w:rFonts w:cs="Arial"/>
                <w:b/>
                <w:color w:val="000000"/>
                <w:sz w:val="20"/>
                <w:szCs w:val="20"/>
              </w:rPr>
            </w:pPr>
            <w:proofErr w:type="spellStart"/>
            <w:r w:rsidRPr="00415F2C">
              <w:rPr>
                <w:b/>
                <w:color w:val="000000"/>
                <w:sz w:val="20"/>
                <w:szCs w:val="20"/>
              </w:rPr>
              <w:t>Objectif</w:t>
            </w:r>
            <w:proofErr w:type="spellEnd"/>
            <w:r w:rsidRPr="00415F2C">
              <w:rPr>
                <w:b/>
                <w:color w:val="000000"/>
                <w:sz w:val="20"/>
                <w:szCs w:val="20"/>
              </w:rPr>
              <w:t xml:space="preserve"> de </w:t>
            </w:r>
            <w:proofErr w:type="spellStart"/>
            <w:r w:rsidRPr="00415F2C">
              <w:rPr>
                <w:b/>
                <w:color w:val="000000"/>
                <w:sz w:val="20"/>
                <w:szCs w:val="20"/>
              </w:rPr>
              <w:t>chaque</w:t>
            </w:r>
            <w:proofErr w:type="spellEnd"/>
            <w:r w:rsidRPr="00415F2C">
              <w:rPr>
                <w:b/>
                <w:color w:val="000000"/>
                <w:sz w:val="20"/>
                <w:szCs w:val="20"/>
              </w:rPr>
              <w:t xml:space="preserve"> </w:t>
            </w:r>
            <w:proofErr w:type="spellStart"/>
            <w:r w:rsidRPr="00415F2C">
              <w:rPr>
                <w:b/>
                <w:color w:val="000000"/>
                <w:sz w:val="20"/>
                <w:szCs w:val="20"/>
              </w:rPr>
              <w:t>étape</w:t>
            </w:r>
            <w:proofErr w:type="spellEnd"/>
          </w:p>
        </w:tc>
      </w:tr>
      <w:tr w:rsidR="007941AC" w:rsidRPr="005D45D9" w14:paraId="77D9E6A5" w14:textId="77777777" w:rsidTr="009A46EF">
        <w:tc>
          <w:tcPr>
            <w:tcW w:w="692" w:type="dxa"/>
          </w:tcPr>
          <w:p w14:paraId="679CA7A4" w14:textId="77777777" w:rsidR="007941AC" w:rsidRPr="00415F2C" w:rsidRDefault="007941AC" w:rsidP="009A46EF">
            <w:pPr>
              <w:jc w:val="center"/>
              <w:rPr>
                <w:rFonts w:cs="Arial"/>
                <w:b/>
                <w:sz w:val="20"/>
                <w:szCs w:val="20"/>
              </w:rPr>
            </w:pPr>
            <w:r w:rsidRPr="00415F2C">
              <w:rPr>
                <w:b/>
                <w:sz w:val="20"/>
                <w:szCs w:val="20"/>
              </w:rPr>
              <w:t>1</w:t>
            </w:r>
          </w:p>
        </w:tc>
        <w:tc>
          <w:tcPr>
            <w:tcW w:w="1559" w:type="dxa"/>
          </w:tcPr>
          <w:p w14:paraId="7FD83962" w14:textId="77777777" w:rsidR="007941AC" w:rsidRPr="007941AC" w:rsidRDefault="007941AC" w:rsidP="009A46EF">
            <w:pPr>
              <w:rPr>
                <w:rFonts w:cs="Arial"/>
                <w:sz w:val="20"/>
                <w:szCs w:val="20"/>
                <w:lang w:val="fr-FR"/>
              </w:rPr>
            </w:pPr>
            <w:r w:rsidRPr="007941AC">
              <w:rPr>
                <w:sz w:val="20"/>
                <w:szCs w:val="20"/>
                <w:lang w:val="fr-FR"/>
              </w:rPr>
              <w:t xml:space="preserve">Activité ne causant pas de </w:t>
            </w:r>
            <w:r w:rsidRPr="007941AC">
              <w:rPr>
                <w:sz w:val="20"/>
                <w:szCs w:val="20"/>
                <w:lang w:val="fr-FR"/>
              </w:rPr>
              <w:lastRenderedPageBreak/>
              <w:t>symptômes</w:t>
            </w:r>
          </w:p>
        </w:tc>
        <w:tc>
          <w:tcPr>
            <w:tcW w:w="3969" w:type="dxa"/>
          </w:tcPr>
          <w:p w14:paraId="251E59A4" w14:textId="77777777" w:rsidR="007941AC" w:rsidRPr="007941AC" w:rsidRDefault="007941AC" w:rsidP="009A46EF">
            <w:pPr>
              <w:rPr>
                <w:rFonts w:cs="Arial"/>
                <w:sz w:val="20"/>
                <w:szCs w:val="20"/>
                <w:lang w:val="fr-FR"/>
              </w:rPr>
            </w:pPr>
            <w:r w:rsidRPr="007941AC">
              <w:rPr>
                <w:sz w:val="20"/>
                <w:szCs w:val="20"/>
                <w:lang w:val="fr-FR"/>
              </w:rPr>
              <w:lastRenderedPageBreak/>
              <w:t>Activités quotidiennes qui ne créent pas de symptômes</w:t>
            </w:r>
            <w:r w:rsidRPr="007941AC">
              <w:rPr>
                <w:rFonts w:cs="Arial"/>
                <w:sz w:val="20"/>
                <w:szCs w:val="20"/>
                <w:lang w:val="fr-FR"/>
              </w:rPr>
              <w:t xml:space="preserve"> </w:t>
            </w:r>
          </w:p>
        </w:tc>
        <w:tc>
          <w:tcPr>
            <w:tcW w:w="2677" w:type="dxa"/>
          </w:tcPr>
          <w:p w14:paraId="1861B7EE" w14:textId="77777777" w:rsidR="007941AC" w:rsidRPr="007941AC" w:rsidRDefault="007941AC" w:rsidP="009A46EF">
            <w:pPr>
              <w:rPr>
                <w:rFonts w:cs="Arial"/>
                <w:sz w:val="20"/>
                <w:szCs w:val="20"/>
                <w:lang w:val="fr-FR"/>
              </w:rPr>
            </w:pPr>
            <w:r w:rsidRPr="007941AC">
              <w:rPr>
                <w:sz w:val="20"/>
                <w:szCs w:val="20"/>
                <w:lang w:val="fr-FR"/>
              </w:rPr>
              <w:t xml:space="preserve">Réintroduction graduelle d’activités liées au travail/à </w:t>
            </w:r>
            <w:r w:rsidRPr="007941AC">
              <w:rPr>
                <w:sz w:val="20"/>
                <w:szCs w:val="20"/>
                <w:lang w:val="fr-FR"/>
              </w:rPr>
              <w:lastRenderedPageBreak/>
              <w:t>l’école</w:t>
            </w:r>
          </w:p>
        </w:tc>
      </w:tr>
      <w:tr w:rsidR="007941AC" w:rsidRPr="00415F2C" w14:paraId="47FCC04C" w14:textId="77777777" w:rsidTr="009A46EF">
        <w:trPr>
          <w:trHeight w:val="63"/>
        </w:trPr>
        <w:tc>
          <w:tcPr>
            <w:tcW w:w="692" w:type="dxa"/>
          </w:tcPr>
          <w:p w14:paraId="7D724930" w14:textId="77777777" w:rsidR="007941AC" w:rsidRPr="00415F2C" w:rsidRDefault="007941AC" w:rsidP="009A46EF">
            <w:pPr>
              <w:jc w:val="center"/>
              <w:rPr>
                <w:rFonts w:cs="Arial"/>
                <w:b/>
                <w:sz w:val="20"/>
                <w:szCs w:val="20"/>
              </w:rPr>
            </w:pPr>
            <w:r w:rsidRPr="00415F2C">
              <w:rPr>
                <w:b/>
                <w:sz w:val="20"/>
                <w:szCs w:val="20"/>
              </w:rPr>
              <w:lastRenderedPageBreak/>
              <w:t>2</w:t>
            </w:r>
          </w:p>
        </w:tc>
        <w:tc>
          <w:tcPr>
            <w:tcW w:w="1559" w:type="dxa"/>
          </w:tcPr>
          <w:p w14:paraId="246EC361" w14:textId="77777777" w:rsidR="007941AC" w:rsidRPr="00415F2C" w:rsidRDefault="007941AC" w:rsidP="009A46EF">
            <w:pPr>
              <w:rPr>
                <w:rFonts w:cs="Arial"/>
                <w:sz w:val="20"/>
                <w:szCs w:val="20"/>
              </w:rPr>
            </w:pPr>
            <w:proofErr w:type="spellStart"/>
            <w:r w:rsidRPr="00415F2C">
              <w:rPr>
                <w:sz w:val="20"/>
                <w:szCs w:val="20"/>
              </w:rPr>
              <w:t>Activité</w:t>
            </w:r>
            <w:proofErr w:type="spellEnd"/>
            <w:r w:rsidRPr="00415F2C">
              <w:rPr>
                <w:sz w:val="20"/>
                <w:szCs w:val="20"/>
              </w:rPr>
              <w:t xml:space="preserve"> </w:t>
            </w:r>
            <w:proofErr w:type="spellStart"/>
            <w:r w:rsidRPr="00415F2C">
              <w:rPr>
                <w:sz w:val="20"/>
                <w:szCs w:val="20"/>
              </w:rPr>
              <w:t>aérobique</w:t>
            </w:r>
            <w:proofErr w:type="spellEnd"/>
            <w:r w:rsidRPr="00415F2C">
              <w:rPr>
                <w:sz w:val="20"/>
                <w:szCs w:val="20"/>
              </w:rPr>
              <w:t xml:space="preserve"> </w:t>
            </w:r>
            <w:proofErr w:type="spellStart"/>
            <w:r w:rsidRPr="00415F2C">
              <w:rPr>
                <w:sz w:val="20"/>
                <w:szCs w:val="20"/>
              </w:rPr>
              <w:t>peu</w:t>
            </w:r>
            <w:proofErr w:type="spellEnd"/>
            <w:r w:rsidRPr="00415F2C">
              <w:rPr>
                <w:sz w:val="20"/>
                <w:szCs w:val="20"/>
              </w:rPr>
              <w:t xml:space="preserve"> </w:t>
            </w:r>
            <w:proofErr w:type="spellStart"/>
            <w:r w:rsidRPr="00415F2C">
              <w:rPr>
                <w:sz w:val="20"/>
                <w:szCs w:val="20"/>
              </w:rPr>
              <w:t>exigeante</w:t>
            </w:r>
            <w:proofErr w:type="spellEnd"/>
          </w:p>
          <w:p w14:paraId="484A2D57" w14:textId="77777777" w:rsidR="007941AC" w:rsidRPr="00415F2C" w:rsidRDefault="007941AC" w:rsidP="009A46EF">
            <w:pPr>
              <w:rPr>
                <w:rFonts w:cs="Arial"/>
                <w:sz w:val="20"/>
                <w:szCs w:val="20"/>
              </w:rPr>
            </w:pPr>
          </w:p>
        </w:tc>
        <w:tc>
          <w:tcPr>
            <w:tcW w:w="3969" w:type="dxa"/>
          </w:tcPr>
          <w:p w14:paraId="60BA38EC" w14:textId="77777777" w:rsidR="007941AC" w:rsidRPr="007941AC" w:rsidRDefault="007941AC" w:rsidP="009A46EF">
            <w:pPr>
              <w:rPr>
                <w:rFonts w:cs="Arial"/>
                <w:sz w:val="20"/>
                <w:szCs w:val="20"/>
                <w:lang w:val="fr-FR"/>
              </w:rPr>
            </w:pPr>
            <w:r w:rsidRPr="007941AC">
              <w:rPr>
                <w:rFonts w:cs="Arial"/>
                <w:sz w:val="20"/>
                <w:szCs w:val="20"/>
                <w:lang w:val="fr-FR"/>
              </w:rPr>
              <w:t>Étirements et entraînement aérobique de faible à moyenne intensité. Aucun exercice de résistance.</w:t>
            </w:r>
          </w:p>
          <w:p w14:paraId="6326992A" w14:textId="77777777" w:rsidR="007941AC" w:rsidRPr="007941AC" w:rsidRDefault="007941AC" w:rsidP="009A46EF">
            <w:pPr>
              <w:rPr>
                <w:rFonts w:cs="Arial"/>
                <w:i/>
                <w:sz w:val="20"/>
                <w:szCs w:val="20"/>
                <w:lang w:val="fr-FR"/>
              </w:rPr>
            </w:pPr>
            <w:r w:rsidRPr="007941AC">
              <w:rPr>
                <w:rFonts w:cs="Arial"/>
                <w:i/>
                <w:sz w:val="20"/>
                <w:szCs w:val="20"/>
                <w:lang w:val="fr-FR"/>
              </w:rPr>
              <w:t xml:space="preserve"> -Par exemple, des séances d’entraînement aérobique d’un rythme lent à moyen, pendant 15 à 20 minutes à une intensité au seuil où aucun symptôme n’apparaît.</w:t>
            </w:r>
          </w:p>
        </w:tc>
        <w:tc>
          <w:tcPr>
            <w:tcW w:w="2677" w:type="dxa"/>
          </w:tcPr>
          <w:p w14:paraId="5ACEBB85" w14:textId="77777777" w:rsidR="007941AC" w:rsidRPr="00415F2C" w:rsidRDefault="007941AC" w:rsidP="009A46EF">
            <w:pPr>
              <w:rPr>
                <w:rFonts w:cs="Arial"/>
                <w:sz w:val="20"/>
                <w:szCs w:val="20"/>
              </w:rPr>
            </w:pPr>
            <w:r w:rsidRPr="00415F2C">
              <w:rPr>
                <w:sz w:val="20"/>
                <w:szCs w:val="20"/>
              </w:rPr>
              <w:t xml:space="preserve">Augmenter le </w:t>
            </w:r>
            <w:proofErr w:type="spellStart"/>
            <w:r w:rsidRPr="00415F2C">
              <w:rPr>
                <w:sz w:val="20"/>
                <w:szCs w:val="20"/>
              </w:rPr>
              <w:t>rythme</w:t>
            </w:r>
            <w:proofErr w:type="spellEnd"/>
            <w:r w:rsidRPr="00415F2C">
              <w:rPr>
                <w:sz w:val="20"/>
                <w:szCs w:val="20"/>
              </w:rPr>
              <w:t xml:space="preserve"> </w:t>
            </w:r>
            <w:proofErr w:type="spellStart"/>
            <w:r w:rsidRPr="00415F2C">
              <w:rPr>
                <w:sz w:val="20"/>
                <w:szCs w:val="20"/>
              </w:rPr>
              <w:t>cardiaque</w:t>
            </w:r>
            <w:proofErr w:type="spellEnd"/>
          </w:p>
        </w:tc>
      </w:tr>
      <w:tr w:rsidR="007941AC" w:rsidRPr="00415F2C" w14:paraId="3EC4875D" w14:textId="77777777" w:rsidTr="009A46EF">
        <w:tc>
          <w:tcPr>
            <w:tcW w:w="692" w:type="dxa"/>
          </w:tcPr>
          <w:p w14:paraId="4669FB6D" w14:textId="77777777" w:rsidR="007941AC" w:rsidRPr="00415F2C" w:rsidRDefault="007941AC" w:rsidP="009A46EF">
            <w:pPr>
              <w:jc w:val="center"/>
              <w:rPr>
                <w:rFonts w:cs="Arial"/>
                <w:b/>
                <w:sz w:val="20"/>
                <w:szCs w:val="20"/>
              </w:rPr>
            </w:pPr>
            <w:r w:rsidRPr="00415F2C">
              <w:rPr>
                <w:b/>
                <w:sz w:val="20"/>
                <w:szCs w:val="20"/>
              </w:rPr>
              <w:t>3</w:t>
            </w:r>
          </w:p>
        </w:tc>
        <w:tc>
          <w:tcPr>
            <w:tcW w:w="1559" w:type="dxa"/>
          </w:tcPr>
          <w:p w14:paraId="6ADF59F0" w14:textId="77777777" w:rsidR="007941AC" w:rsidRPr="007941AC" w:rsidRDefault="007941AC" w:rsidP="009A46EF">
            <w:pPr>
              <w:rPr>
                <w:rFonts w:cs="Arial"/>
                <w:sz w:val="20"/>
                <w:szCs w:val="20"/>
                <w:lang w:val="fr-FR"/>
              </w:rPr>
            </w:pPr>
            <w:r w:rsidRPr="007941AC">
              <w:rPr>
                <w:sz w:val="20"/>
                <w:szCs w:val="20"/>
                <w:lang w:val="fr-FR"/>
              </w:rPr>
              <w:t>Exercices spécifiques à un sport</w:t>
            </w:r>
          </w:p>
        </w:tc>
        <w:tc>
          <w:tcPr>
            <w:tcW w:w="3969" w:type="dxa"/>
          </w:tcPr>
          <w:p w14:paraId="158A481F" w14:textId="77777777" w:rsidR="007941AC" w:rsidRPr="007941AC" w:rsidRDefault="007941AC" w:rsidP="009A46EF">
            <w:pPr>
              <w:rPr>
                <w:rFonts w:cs="Calibri"/>
                <w:sz w:val="20"/>
                <w:szCs w:val="20"/>
                <w:lang w:val="fr-FR"/>
              </w:rPr>
            </w:pPr>
            <w:r w:rsidRPr="007941AC">
              <w:rPr>
                <w:rFonts w:cs="Calibri"/>
                <w:sz w:val="20"/>
                <w:szCs w:val="20"/>
                <w:lang w:val="fr-FR"/>
              </w:rPr>
              <w:t>Exercices individuels de dribble, de tirs et de passes de faible à moyenne intensité. Séances d’entraînement aérobiques et anaérobiques de moyenne intensité. Aucun exercice en équipe ou activité posant un risque d’impact à la tête.</w:t>
            </w:r>
          </w:p>
        </w:tc>
        <w:tc>
          <w:tcPr>
            <w:tcW w:w="2677" w:type="dxa"/>
          </w:tcPr>
          <w:p w14:paraId="74FD9185" w14:textId="77777777" w:rsidR="007941AC" w:rsidRPr="00415F2C" w:rsidRDefault="007941AC" w:rsidP="009A46EF">
            <w:pPr>
              <w:rPr>
                <w:rFonts w:cs="Arial"/>
                <w:sz w:val="20"/>
                <w:szCs w:val="20"/>
              </w:rPr>
            </w:pPr>
            <w:proofErr w:type="spellStart"/>
            <w:r w:rsidRPr="00415F2C">
              <w:rPr>
                <w:sz w:val="20"/>
                <w:szCs w:val="20"/>
              </w:rPr>
              <w:t>Ajouter</w:t>
            </w:r>
            <w:proofErr w:type="spellEnd"/>
            <w:r w:rsidRPr="00415F2C">
              <w:rPr>
                <w:sz w:val="20"/>
                <w:szCs w:val="20"/>
              </w:rPr>
              <w:t xml:space="preserve"> des </w:t>
            </w:r>
            <w:proofErr w:type="spellStart"/>
            <w:r w:rsidRPr="00415F2C">
              <w:rPr>
                <w:sz w:val="20"/>
                <w:szCs w:val="20"/>
              </w:rPr>
              <w:t>mouvements</w:t>
            </w:r>
            <w:proofErr w:type="spellEnd"/>
            <w:r w:rsidRPr="00415F2C">
              <w:rPr>
                <w:sz w:val="20"/>
                <w:szCs w:val="20"/>
              </w:rPr>
              <w:t xml:space="preserve"> </w:t>
            </w:r>
            <w:proofErr w:type="spellStart"/>
            <w:r w:rsidRPr="00415F2C">
              <w:rPr>
                <w:sz w:val="20"/>
                <w:szCs w:val="20"/>
              </w:rPr>
              <w:t>supplémentaires</w:t>
            </w:r>
            <w:proofErr w:type="spellEnd"/>
          </w:p>
        </w:tc>
      </w:tr>
      <w:tr w:rsidR="007941AC" w:rsidRPr="005D45D9" w14:paraId="4EC8FC0A" w14:textId="77777777" w:rsidTr="009A46EF">
        <w:tc>
          <w:tcPr>
            <w:tcW w:w="692" w:type="dxa"/>
          </w:tcPr>
          <w:p w14:paraId="1489D1EE" w14:textId="77777777" w:rsidR="007941AC" w:rsidRPr="00415F2C" w:rsidRDefault="007941AC" w:rsidP="009A46EF">
            <w:pPr>
              <w:jc w:val="center"/>
              <w:rPr>
                <w:rFonts w:cs="Arial"/>
                <w:b/>
                <w:sz w:val="20"/>
                <w:szCs w:val="20"/>
              </w:rPr>
            </w:pPr>
            <w:r w:rsidRPr="00415F2C">
              <w:rPr>
                <w:b/>
                <w:sz w:val="20"/>
                <w:szCs w:val="20"/>
              </w:rPr>
              <w:t>4</w:t>
            </w:r>
          </w:p>
        </w:tc>
        <w:tc>
          <w:tcPr>
            <w:tcW w:w="1559" w:type="dxa"/>
          </w:tcPr>
          <w:p w14:paraId="06475475" w14:textId="77777777" w:rsidR="007941AC" w:rsidRPr="007941AC" w:rsidRDefault="007941AC" w:rsidP="009A46EF">
            <w:pPr>
              <w:rPr>
                <w:rFonts w:cs="Arial"/>
                <w:sz w:val="20"/>
                <w:szCs w:val="20"/>
                <w:lang w:val="fr-FR"/>
              </w:rPr>
            </w:pPr>
            <w:r w:rsidRPr="007941AC">
              <w:rPr>
                <w:sz w:val="20"/>
                <w:szCs w:val="20"/>
                <w:lang w:val="fr-FR"/>
              </w:rPr>
              <w:t>Exercices d’entraînement n’impliquant pas de contact</w:t>
            </w:r>
          </w:p>
        </w:tc>
        <w:tc>
          <w:tcPr>
            <w:tcW w:w="3969" w:type="dxa"/>
          </w:tcPr>
          <w:p w14:paraId="797FBA6F" w14:textId="77777777" w:rsidR="007941AC" w:rsidRPr="007941AC" w:rsidRDefault="007941AC" w:rsidP="009A46EF">
            <w:pPr>
              <w:rPr>
                <w:rFonts w:cs="Calibri"/>
                <w:i/>
                <w:sz w:val="20"/>
                <w:szCs w:val="20"/>
                <w:lang w:val="fr-FR"/>
              </w:rPr>
            </w:pPr>
            <w:r w:rsidRPr="007941AC">
              <w:rPr>
                <w:rFonts w:cs="Calibri"/>
                <w:sz w:val="20"/>
                <w:szCs w:val="20"/>
                <w:lang w:val="fr-FR"/>
              </w:rPr>
              <w:t>Exercices de dribble, de tirs et de passes de forte intensité. Exercices individuels et d’équipe sans contact. Peut commencer l’entraînement de résistance progressif. Aucune activité posant un risque d’impact à la tête.</w:t>
            </w:r>
          </w:p>
        </w:tc>
        <w:tc>
          <w:tcPr>
            <w:tcW w:w="2677" w:type="dxa"/>
          </w:tcPr>
          <w:p w14:paraId="34201B6D" w14:textId="77777777" w:rsidR="007941AC" w:rsidRPr="007941AC" w:rsidRDefault="007941AC" w:rsidP="009A46EF">
            <w:pPr>
              <w:rPr>
                <w:rFonts w:cs="Arial"/>
                <w:sz w:val="20"/>
                <w:szCs w:val="20"/>
                <w:lang w:val="fr-FR"/>
              </w:rPr>
            </w:pPr>
            <w:r w:rsidRPr="007941AC">
              <w:rPr>
                <w:sz w:val="20"/>
                <w:szCs w:val="20"/>
                <w:lang w:val="fr-FR"/>
              </w:rPr>
              <w:t>Augmenter les activités sportives, de coordination et les activités cognitives</w:t>
            </w:r>
          </w:p>
        </w:tc>
      </w:tr>
      <w:tr w:rsidR="007941AC" w:rsidRPr="005D45D9" w14:paraId="39C9BC1D" w14:textId="77777777" w:rsidTr="009A46EF">
        <w:tc>
          <w:tcPr>
            <w:tcW w:w="692" w:type="dxa"/>
          </w:tcPr>
          <w:p w14:paraId="0F79E480" w14:textId="77777777" w:rsidR="007941AC" w:rsidRPr="00415F2C" w:rsidRDefault="007941AC" w:rsidP="009A46EF">
            <w:pPr>
              <w:jc w:val="center"/>
              <w:rPr>
                <w:rFonts w:cs="Arial"/>
                <w:b/>
                <w:sz w:val="20"/>
                <w:szCs w:val="20"/>
              </w:rPr>
            </w:pPr>
            <w:r w:rsidRPr="00415F2C">
              <w:rPr>
                <w:b/>
                <w:sz w:val="20"/>
                <w:szCs w:val="20"/>
              </w:rPr>
              <w:t>5</w:t>
            </w:r>
          </w:p>
        </w:tc>
        <w:tc>
          <w:tcPr>
            <w:tcW w:w="1559" w:type="dxa"/>
          </w:tcPr>
          <w:p w14:paraId="523FC64F" w14:textId="77777777" w:rsidR="007941AC" w:rsidRPr="007941AC" w:rsidRDefault="007941AC" w:rsidP="009A46EF">
            <w:pPr>
              <w:rPr>
                <w:rFonts w:cs="Arial"/>
                <w:sz w:val="20"/>
                <w:szCs w:val="20"/>
                <w:lang w:val="fr-FR"/>
              </w:rPr>
            </w:pPr>
            <w:r w:rsidRPr="007941AC">
              <w:rPr>
                <w:sz w:val="20"/>
                <w:szCs w:val="20"/>
                <w:lang w:val="fr-FR"/>
              </w:rPr>
              <w:t>Entraînement avec contact sans restrictions</w:t>
            </w:r>
          </w:p>
        </w:tc>
        <w:tc>
          <w:tcPr>
            <w:tcW w:w="3969" w:type="dxa"/>
          </w:tcPr>
          <w:p w14:paraId="73A7AD4C" w14:textId="77777777" w:rsidR="007941AC" w:rsidRPr="007941AC" w:rsidRDefault="007941AC" w:rsidP="009A46EF">
            <w:pPr>
              <w:rPr>
                <w:rFonts w:cs="Arial"/>
                <w:sz w:val="20"/>
                <w:szCs w:val="20"/>
                <w:lang w:val="fr-FR"/>
              </w:rPr>
            </w:pPr>
            <w:r w:rsidRPr="007941AC">
              <w:rPr>
                <w:sz w:val="20"/>
                <w:szCs w:val="20"/>
                <w:lang w:val="fr-FR"/>
              </w:rPr>
              <w:t>Sous réserve d’autorisation médicale</w:t>
            </w:r>
          </w:p>
          <w:p w14:paraId="02B02C55" w14:textId="77777777" w:rsidR="007941AC" w:rsidRPr="007941AC" w:rsidRDefault="007941AC" w:rsidP="009A46EF">
            <w:pPr>
              <w:rPr>
                <w:rFonts w:cs="Arial"/>
                <w:i/>
                <w:sz w:val="20"/>
                <w:szCs w:val="20"/>
                <w:lang w:val="fr-FR"/>
              </w:rPr>
            </w:pPr>
            <w:r w:rsidRPr="007941AC">
              <w:rPr>
                <w:i/>
                <w:sz w:val="20"/>
                <w:szCs w:val="20"/>
                <w:lang w:val="fr-FR"/>
              </w:rPr>
              <w:t xml:space="preserve"> - Entraînement complet sans limitation des activités.</w:t>
            </w:r>
          </w:p>
        </w:tc>
        <w:tc>
          <w:tcPr>
            <w:tcW w:w="2677" w:type="dxa"/>
          </w:tcPr>
          <w:p w14:paraId="3BA165C3" w14:textId="77777777" w:rsidR="007941AC" w:rsidRPr="007941AC" w:rsidRDefault="007941AC" w:rsidP="009A46EF">
            <w:pPr>
              <w:rPr>
                <w:rFonts w:cs="Arial"/>
                <w:sz w:val="20"/>
                <w:szCs w:val="20"/>
                <w:lang w:val="fr-FR"/>
              </w:rPr>
            </w:pPr>
            <w:r w:rsidRPr="007941AC">
              <w:rPr>
                <w:sz w:val="20"/>
                <w:szCs w:val="20"/>
                <w:lang w:val="fr-FR"/>
              </w:rPr>
              <w:t xml:space="preserve">Rétablir la confiance et évaluation de compétences fonctionnelles de l’athlète par les entraîneurs  </w:t>
            </w:r>
          </w:p>
        </w:tc>
      </w:tr>
      <w:tr w:rsidR="007941AC" w:rsidRPr="00415F2C" w14:paraId="19A7C5E6" w14:textId="77777777" w:rsidTr="009A46EF">
        <w:tc>
          <w:tcPr>
            <w:tcW w:w="692" w:type="dxa"/>
          </w:tcPr>
          <w:p w14:paraId="0B427FF4" w14:textId="77777777" w:rsidR="007941AC" w:rsidRPr="00415F2C" w:rsidRDefault="007941AC" w:rsidP="009A46EF">
            <w:pPr>
              <w:jc w:val="center"/>
              <w:rPr>
                <w:rFonts w:cs="Arial"/>
                <w:b/>
                <w:sz w:val="20"/>
                <w:szCs w:val="20"/>
              </w:rPr>
            </w:pPr>
            <w:r w:rsidRPr="00415F2C">
              <w:rPr>
                <w:b/>
                <w:sz w:val="20"/>
                <w:szCs w:val="20"/>
              </w:rPr>
              <w:t>6</w:t>
            </w:r>
          </w:p>
        </w:tc>
        <w:tc>
          <w:tcPr>
            <w:tcW w:w="1559" w:type="dxa"/>
          </w:tcPr>
          <w:p w14:paraId="113357D6" w14:textId="77777777" w:rsidR="007941AC" w:rsidRPr="00415F2C" w:rsidRDefault="007941AC" w:rsidP="009A46EF">
            <w:pPr>
              <w:rPr>
                <w:rFonts w:cs="Arial"/>
                <w:sz w:val="20"/>
                <w:szCs w:val="20"/>
              </w:rPr>
            </w:pPr>
            <w:r w:rsidRPr="00415F2C">
              <w:rPr>
                <w:sz w:val="20"/>
                <w:szCs w:val="20"/>
              </w:rPr>
              <w:t>Retour au sport</w:t>
            </w:r>
          </w:p>
        </w:tc>
        <w:tc>
          <w:tcPr>
            <w:tcW w:w="3969" w:type="dxa"/>
          </w:tcPr>
          <w:p w14:paraId="79BD55F3" w14:textId="77777777" w:rsidR="007941AC" w:rsidRPr="00415F2C" w:rsidRDefault="007941AC" w:rsidP="009A46EF">
            <w:pPr>
              <w:rPr>
                <w:rFonts w:cs="Arial"/>
                <w:sz w:val="20"/>
                <w:szCs w:val="20"/>
              </w:rPr>
            </w:pPr>
            <w:proofErr w:type="spellStart"/>
            <w:r w:rsidRPr="00415F2C">
              <w:rPr>
                <w:sz w:val="20"/>
                <w:szCs w:val="20"/>
              </w:rPr>
              <w:t>Pratique</w:t>
            </w:r>
            <w:proofErr w:type="spellEnd"/>
            <w:r w:rsidRPr="00415F2C">
              <w:rPr>
                <w:sz w:val="20"/>
                <w:szCs w:val="20"/>
              </w:rPr>
              <w:t xml:space="preserve"> </w:t>
            </w:r>
            <w:proofErr w:type="spellStart"/>
            <w:r w:rsidRPr="00415F2C">
              <w:rPr>
                <w:sz w:val="20"/>
                <w:szCs w:val="20"/>
              </w:rPr>
              <w:t>normale</w:t>
            </w:r>
            <w:proofErr w:type="spellEnd"/>
            <w:r w:rsidRPr="00415F2C">
              <w:rPr>
                <w:sz w:val="20"/>
                <w:szCs w:val="20"/>
              </w:rPr>
              <w:t xml:space="preserve"> du sport.</w:t>
            </w:r>
          </w:p>
        </w:tc>
        <w:tc>
          <w:tcPr>
            <w:tcW w:w="2677" w:type="dxa"/>
          </w:tcPr>
          <w:p w14:paraId="6F9747BB" w14:textId="77777777" w:rsidR="007941AC" w:rsidRPr="00415F2C" w:rsidRDefault="007941AC" w:rsidP="009A46EF">
            <w:pPr>
              <w:rPr>
                <w:rFonts w:cs="Arial"/>
                <w:sz w:val="20"/>
                <w:szCs w:val="20"/>
              </w:rPr>
            </w:pPr>
          </w:p>
        </w:tc>
      </w:tr>
    </w:tbl>
    <w:p w14:paraId="545FD0DC" w14:textId="77777777" w:rsidR="007941AC" w:rsidRPr="00415F2C" w:rsidRDefault="007941AC" w:rsidP="007941AC">
      <w:pPr>
        <w:pStyle w:val="p1"/>
        <w:rPr>
          <w:lang w:val="fr-CA"/>
        </w:rPr>
      </w:pPr>
      <w:proofErr w:type="spellStart"/>
      <w:r w:rsidRPr="00415F2C">
        <w:rPr>
          <w:rStyle w:val="s1"/>
          <w:lang w:val="fr-CA"/>
        </w:rPr>
        <w:t>McCrory</w:t>
      </w:r>
      <w:proofErr w:type="spellEnd"/>
      <w:r w:rsidRPr="00415F2C">
        <w:rPr>
          <w:rStyle w:val="s1"/>
          <w:lang w:val="fr-CA"/>
        </w:rPr>
        <w:t xml:space="preserve"> et coll. (2017). Énoncé de consensus sur les commotions cérébrales dans le sport – 5</w:t>
      </w:r>
      <w:r w:rsidRPr="00415F2C">
        <w:rPr>
          <w:rStyle w:val="s2"/>
          <w:vertAlign w:val="superscript"/>
          <w:lang w:val="fr-CA"/>
        </w:rPr>
        <w:t>e</w:t>
      </w:r>
      <w:r w:rsidRPr="00415F2C">
        <w:rPr>
          <w:rStyle w:val="s1"/>
          <w:lang w:val="fr-CA"/>
        </w:rPr>
        <w:t xml:space="preserve"> conférence internationale sur les commotions cérébrales dans le sport, Berlin, octobre 2016. </w:t>
      </w:r>
      <w:r w:rsidRPr="00415F2C">
        <w:rPr>
          <w:rStyle w:val="s1"/>
          <w:i/>
          <w:iCs/>
          <w:lang w:val="fr-CA"/>
        </w:rPr>
        <w:t xml:space="preserve">British Journal of Sports </w:t>
      </w:r>
      <w:proofErr w:type="spellStart"/>
      <w:r w:rsidRPr="00415F2C">
        <w:rPr>
          <w:rStyle w:val="s1"/>
          <w:i/>
          <w:iCs/>
          <w:lang w:val="fr-CA"/>
        </w:rPr>
        <w:t>Medicine</w:t>
      </w:r>
      <w:proofErr w:type="spellEnd"/>
      <w:r w:rsidRPr="00415F2C">
        <w:rPr>
          <w:rStyle w:val="s1"/>
          <w:i/>
          <w:iCs/>
          <w:lang w:val="fr-CA"/>
        </w:rPr>
        <w:t>, 51</w:t>
      </w:r>
      <w:r w:rsidRPr="00415F2C">
        <w:rPr>
          <w:rStyle w:val="s1"/>
          <w:lang w:val="fr-CA"/>
        </w:rPr>
        <w:t>(11), 838-847.</w:t>
      </w:r>
    </w:p>
    <w:p w14:paraId="7ADC6C9F" w14:textId="77777777" w:rsidR="007941AC" w:rsidRPr="00415F2C" w:rsidRDefault="007941AC" w:rsidP="007941AC"/>
    <w:p w14:paraId="3D2139B7" w14:textId="19A18DAF" w:rsidR="00FC4CB0" w:rsidRPr="00EA0DDA" w:rsidRDefault="00FC4CB0" w:rsidP="00794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fr-CA"/>
        </w:rPr>
      </w:pPr>
    </w:p>
    <w:sectPr w:rsidR="00FC4CB0" w:rsidRPr="00EA0DDA" w:rsidSect="009D7071">
      <w:footerReference w:type="default" r:id="rId8"/>
      <w:pgSz w:w="12240" w:h="15840"/>
      <w:pgMar w:top="1191" w:right="1134" w:bottom="1247" w:left="1134" w:header="720" w:footer="5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CB407" w14:textId="77777777" w:rsidR="00592100" w:rsidRDefault="00592100" w:rsidP="00141885">
      <w:r>
        <w:separator/>
      </w:r>
    </w:p>
  </w:endnote>
  <w:endnote w:type="continuationSeparator" w:id="0">
    <w:p w14:paraId="25312F7D" w14:textId="77777777" w:rsidR="00592100" w:rsidRDefault="00592100"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8E32" w14:textId="730FAD14" w:rsidR="005D6D3E" w:rsidRPr="007941AC" w:rsidRDefault="005D6D3E">
    <w:pPr>
      <w:pStyle w:val="Footer"/>
      <w:rPr>
        <w:sz w:val="20"/>
        <w:lang w:val="fr-FR"/>
      </w:rPr>
    </w:pPr>
    <w:r w:rsidRPr="007941AC">
      <w:rPr>
        <w:sz w:val="20"/>
        <w:lang w:val="fr-FR"/>
      </w:rPr>
      <w:t xml:space="preserve">Lignes directrices canadiennes sur les commotions cérébrales dans le sport | Lettre </w:t>
    </w:r>
    <w:r w:rsidR="00FE5679" w:rsidRPr="007941AC">
      <w:rPr>
        <w:sz w:val="20"/>
        <w:lang w:val="fr-FR"/>
      </w:rPr>
      <w:t>d’autorisation</w:t>
    </w:r>
    <w:r w:rsidRPr="007941AC">
      <w:rPr>
        <w:sz w:val="20"/>
        <w:lang w:val="fr-FR"/>
      </w:rPr>
      <w:t xml:space="preserve"> médical</w:t>
    </w:r>
    <w:r w:rsidR="00FE5679" w:rsidRPr="007941AC">
      <w:rPr>
        <w:sz w:val="20"/>
        <w:lang w:val="fr-FR"/>
      </w:rPr>
      <w:t>e</w:t>
    </w:r>
    <w:r w:rsidRPr="007941AC">
      <w:rPr>
        <w:sz w:val="20"/>
        <w:lang w:val="fr-FR"/>
      </w:rPr>
      <w:br/>
      <w:t>www.parachutecanada.org/lignes-directrices</w:t>
    </w:r>
    <w:r w:rsidRPr="007941AC">
      <w:rPr>
        <w:sz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229AD" w14:textId="77777777" w:rsidR="00592100" w:rsidRDefault="00592100" w:rsidP="00141885">
      <w:r>
        <w:separator/>
      </w:r>
    </w:p>
  </w:footnote>
  <w:footnote w:type="continuationSeparator" w:id="0">
    <w:p w14:paraId="17AEA7B0" w14:textId="77777777" w:rsidR="00592100" w:rsidRDefault="00592100" w:rsidP="0014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7F"/>
    <w:rsid w:val="00010B25"/>
    <w:rsid w:val="00071E90"/>
    <w:rsid w:val="000818A4"/>
    <w:rsid w:val="000840B5"/>
    <w:rsid w:val="000A0C0C"/>
    <w:rsid w:val="000F252B"/>
    <w:rsid w:val="000F671B"/>
    <w:rsid w:val="00123F07"/>
    <w:rsid w:val="00141885"/>
    <w:rsid w:val="001B1420"/>
    <w:rsid w:val="00284075"/>
    <w:rsid w:val="00295261"/>
    <w:rsid w:val="00324663"/>
    <w:rsid w:val="003529C9"/>
    <w:rsid w:val="003A1CE0"/>
    <w:rsid w:val="003F4B95"/>
    <w:rsid w:val="0048731F"/>
    <w:rsid w:val="004E2915"/>
    <w:rsid w:val="00592100"/>
    <w:rsid w:val="005A6D28"/>
    <w:rsid w:val="005C4579"/>
    <w:rsid w:val="005D45D9"/>
    <w:rsid w:val="005D6D3E"/>
    <w:rsid w:val="00601ECB"/>
    <w:rsid w:val="006221A8"/>
    <w:rsid w:val="00686BA9"/>
    <w:rsid w:val="006922A2"/>
    <w:rsid w:val="006D251A"/>
    <w:rsid w:val="00711535"/>
    <w:rsid w:val="00711FBB"/>
    <w:rsid w:val="00712E86"/>
    <w:rsid w:val="0073527F"/>
    <w:rsid w:val="007800DC"/>
    <w:rsid w:val="007941AC"/>
    <w:rsid w:val="007B4AEB"/>
    <w:rsid w:val="007D19F3"/>
    <w:rsid w:val="007E6CC0"/>
    <w:rsid w:val="00802EE8"/>
    <w:rsid w:val="00846A3C"/>
    <w:rsid w:val="0085470F"/>
    <w:rsid w:val="00875A43"/>
    <w:rsid w:val="008D04C6"/>
    <w:rsid w:val="008D540B"/>
    <w:rsid w:val="0092620E"/>
    <w:rsid w:val="009366C7"/>
    <w:rsid w:val="00971CA4"/>
    <w:rsid w:val="009D7071"/>
    <w:rsid w:val="00A520AB"/>
    <w:rsid w:val="00AA45FD"/>
    <w:rsid w:val="00AD5C65"/>
    <w:rsid w:val="00BA5228"/>
    <w:rsid w:val="00BB39C9"/>
    <w:rsid w:val="00BD6950"/>
    <w:rsid w:val="00BD6A64"/>
    <w:rsid w:val="00C05D24"/>
    <w:rsid w:val="00C21386"/>
    <w:rsid w:val="00C2307A"/>
    <w:rsid w:val="00C453A4"/>
    <w:rsid w:val="00C700C9"/>
    <w:rsid w:val="00C755E7"/>
    <w:rsid w:val="00CE19AF"/>
    <w:rsid w:val="00D06E85"/>
    <w:rsid w:val="00D14252"/>
    <w:rsid w:val="00D62047"/>
    <w:rsid w:val="00E37A1B"/>
    <w:rsid w:val="00E50531"/>
    <w:rsid w:val="00EA0DDA"/>
    <w:rsid w:val="00EA70B5"/>
    <w:rsid w:val="00EB14A8"/>
    <w:rsid w:val="00EC7265"/>
    <w:rsid w:val="00FB7B3B"/>
    <w:rsid w:val="00FC4CB0"/>
    <w:rsid w:val="00FE1428"/>
    <w:rsid w:val="00FE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02C8"/>
  <w14:defaultImageDpi w14:val="300"/>
  <w15:docId w15:val="{3A8AD8B8-9366-4348-AC29-3A21339E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0000FF" w:themeColor="hyperlink"/>
      <w:u w:val="single"/>
    </w:rPr>
  </w:style>
  <w:style w:type="paragraph" w:styleId="NormalWeb">
    <w:name w:val="Normal (Web)"/>
    <w:basedOn w:val="Normal"/>
    <w:uiPriority w:val="99"/>
    <w:unhideWhenUsed/>
    <w:rsid w:val="00686BA9"/>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686BA9"/>
  </w:style>
  <w:style w:type="paragraph" w:customStyle="1" w:styleId="p1">
    <w:name w:val="p1"/>
    <w:basedOn w:val="Normal"/>
    <w:rsid w:val="007941AC"/>
    <w:rPr>
      <w:rFonts w:eastAsia="MS Mincho" w:cs="Times New Roman"/>
      <w:sz w:val="15"/>
      <w:szCs w:val="15"/>
    </w:rPr>
  </w:style>
  <w:style w:type="character" w:customStyle="1" w:styleId="s2">
    <w:name w:val="s2"/>
    <w:rsid w:val="007941AC"/>
    <w:rPr>
      <w:rFonts w:ascii="Calibri" w:hAnsi="Calibri" w:hint="default"/>
      <w:sz w:val="10"/>
      <w:szCs w:val="10"/>
    </w:rPr>
  </w:style>
  <w:style w:type="character" w:customStyle="1" w:styleId="s1">
    <w:name w:val="s1"/>
    <w:rsid w:val="0079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12125">
      <w:bodyDiv w:val="1"/>
      <w:marLeft w:val="0"/>
      <w:marRight w:val="0"/>
      <w:marTop w:val="0"/>
      <w:marBottom w:val="0"/>
      <w:divBdr>
        <w:top w:val="none" w:sz="0" w:space="0" w:color="auto"/>
        <w:left w:val="none" w:sz="0" w:space="0" w:color="auto"/>
        <w:bottom w:val="none" w:sz="0" w:space="0" w:color="auto"/>
        <w:right w:val="none" w:sz="0" w:space="0" w:color="auto"/>
      </w:divBdr>
    </w:div>
    <w:div w:id="1962569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2E38-E632-41B6-A025-AB517F51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1199</Words>
  <Characters>6838</Characters>
  <Application>Microsoft Office Word</Application>
  <DocSecurity>0</DocSecurity>
  <Lines>56</Lines>
  <Paragraphs>16</Paragraphs>
  <ScaleCrop>false</ScaleCrop>
  <Company>Parachute</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Sean Liebich</cp:lastModifiedBy>
  <cp:revision>65</cp:revision>
  <dcterms:created xsi:type="dcterms:W3CDTF">2017-07-27T03:14:00Z</dcterms:created>
  <dcterms:modified xsi:type="dcterms:W3CDTF">2019-08-14T13:59:00Z</dcterms:modified>
</cp:coreProperties>
</file>