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1E18" w14:textId="77777777" w:rsidR="000A21FC" w:rsidRPr="00346BFC" w:rsidRDefault="000A21FC" w:rsidP="00346B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cs="Calibri"/>
          <w:b/>
          <w:bCs/>
          <w:color w:val="000000"/>
          <w:szCs w:val="22"/>
        </w:rPr>
      </w:pPr>
      <w:r w:rsidRPr="00346BFC">
        <w:rPr>
          <w:rFonts w:cs="Calibri"/>
          <w:b/>
          <w:bCs/>
          <w:color w:val="000000"/>
          <w:szCs w:val="22"/>
        </w:rPr>
        <w:t>Pre-Season Concussion Education Sheet</w:t>
      </w:r>
    </w:p>
    <w:p w14:paraId="3F5955D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IS A CONCUSSION?</w:t>
      </w:r>
    </w:p>
    <w:p w14:paraId="613E565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is a brain injury that can’t be seen on x-rays, CT or MRI scans. It affects the way an athlete thinks and can cause a variety of symptoms. </w:t>
      </w:r>
    </w:p>
    <w:p w14:paraId="2F834DE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CAUSES A CONCUSSION?</w:t>
      </w:r>
    </w:p>
    <w:p w14:paraId="5B4F7765"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Any blow to the head, face or neck, or somewhere else on the body that causes a sudden jarring of the head may cause a concussion. Examples include getting body-checked in hockey or hitting one’s head on the floor in gym class.</w:t>
      </w:r>
    </w:p>
    <w:p w14:paraId="12A4428C"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WHEN SHOULD I SUSPECT A CONCUSSION?</w:t>
      </w:r>
    </w:p>
    <w:p w14:paraId="4299BB11"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A concussion should be suspected in any athlete who sustains a significant impact to the head, face, neck, or body and reports </w:t>
      </w:r>
      <w:r w:rsidRPr="00346BFC">
        <w:rPr>
          <w:rFonts w:cs="Calibri"/>
          <w:i/>
          <w:iCs/>
          <w:color w:val="000000"/>
          <w:sz w:val="22"/>
          <w:szCs w:val="22"/>
        </w:rPr>
        <w:t>ANY</w:t>
      </w:r>
      <w:r w:rsidRPr="00346BFC">
        <w:rPr>
          <w:rFonts w:cs="Calibri"/>
          <w:color w:val="000000"/>
          <w:sz w:val="22"/>
          <w:szCs w:val="22"/>
        </w:rPr>
        <w:t xml:space="preserve"> symptoms or demonstrates </w:t>
      </w:r>
      <w:r w:rsidRPr="00346BFC">
        <w:rPr>
          <w:rFonts w:cs="Calibri"/>
          <w:i/>
          <w:iCs/>
          <w:color w:val="000000"/>
          <w:sz w:val="22"/>
          <w:szCs w:val="22"/>
        </w:rPr>
        <w:t>ANY</w:t>
      </w:r>
      <w:r w:rsidRPr="00346BFC">
        <w:rPr>
          <w:rFonts w:cs="Calibri"/>
          <w:color w:val="000000"/>
          <w:sz w:val="22"/>
          <w:szCs w:val="22"/>
        </w:rPr>
        <w:t xml:space="preserve"> visual signs of a concussion. A concussion should also be suspected if an athlete reports ANY concussion symptoms to one of their peers, parents, teachers, or coaches or if anyone witnesses an athlete exhibiting ANY of the visual signs of concussion. Some athletes will develop symptoms immediately while others will develop delayed symptoms (beginning 24-48 hours after the injury).</w:t>
      </w:r>
    </w:p>
    <w:p w14:paraId="1EAA5C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SYMPTOMS OF A CONCUSSION?</w:t>
      </w:r>
    </w:p>
    <w:p w14:paraId="3D4C076C" w14:textId="08AE9F11" w:rsidR="005476BB" w:rsidRPr="00346BFC" w:rsidRDefault="000A21FC" w:rsidP="000D606B">
      <w:pPr>
        <w:pStyle w:val="ParagraphBody"/>
        <w:spacing w:after="80"/>
        <w:rPr>
          <w:rFonts w:ascii="Calibri" w:hAnsi="Calibri"/>
          <w:b/>
          <w:sz w:val="22"/>
          <w:szCs w:val="22"/>
        </w:rPr>
      </w:pPr>
      <w:r w:rsidRPr="00346BFC">
        <w:rPr>
          <w:rFonts w:ascii="Calibri" w:hAnsi="Calibri" w:cs="Calibri"/>
          <w:color w:val="000000"/>
          <w:sz w:val="22"/>
          <w:szCs w:val="22"/>
        </w:rPr>
        <w:t>A person does not need to be knocked out (lose consciousness) to have had a concussion. Common symptoms include:</w:t>
      </w:r>
    </w:p>
    <w:tbl>
      <w:tblPr>
        <w:tblW w:w="9498" w:type="dxa"/>
        <w:jc w:val="center"/>
        <w:tblLook w:val="00A0" w:firstRow="1" w:lastRow="0" w:firstColumn="1" w:lastColumn="0" w:noHBand="0" w:noVBand="0"/>
      </w:tblPr>
      <w:tblGrid>
        <w:gridCol w:w="4820"/>
        <w:gridCol w:w="4678"/>
      </w:tblGrid>
      <w:tr w:rsidR="000A21FC" w:rsidRPr="00346BFC" w14:paraId="2983681B" w14:textId="77777777" w:rsidTr="00346BFC">
        <w:trPr>
          <w:trHeight w:hRule="exact" w:val="278"/>
          <w:jc w:val="center"/>
        </w:trPr>
        <w:tc>
          <w:tcPr>
            <w:tcW w:w="4820" w:type="dxa"/>
          </w:tcPr>
          <w:p w14:paraId="5830B5B5"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Headaches or head pressure</w:t>
            </w:r>
          </w:p>
        </w:tc>
        <w:tc>
          <w:tcPr>
            <w:tcW w:w="4678" w:type="dxa"/>
          </w:tcPr>
          <w:p w14:paraId="5FB7CEBF"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Easily upset or angered</w:t>
            </w:r>
          </w:p>
        </w:tc>
      </w:tr>
      <w:tr w:rsidR="000A21FC" w:rsidRPr="00346BFC" w14:paraId="07691B0E" w14:textId="77777777" w:rsidTr="00346BFC">
        <w:trPr>
          <w:trHeight w:hRule="exact" w:val="278"/>
          <w:jc w:val="center"/>
        </w:trPr>
        <w:tc>
          <w:tcPr>
            <w:tcW w:w="4820" w:type="dxa"/>
          </w:tcPr>
          <w:p w14:paraId="313D8ACF"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Dizziness</w:t>
            </w:r>
          </w:p>
        </w:tc>
        <w:tc>
          <w:tcPr>
            <w:tcW w:w="4678" w:type="dxa"/>
          </w:tcPr>
          <w:p w14:paraId="2102E71E"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Sadness</w:t>
            </w:r>
          </w:p>
        </w:tc>
      </w:tr>
      <w:tr w:rsidR="000A21FC" w:rsidRPr="00346BFC" w14:paraId="6A101830" w14:textId="77777777" w:rsidTr="00346BFC">
        <w:trPr>
          <w:trHeight w:hRule="exact" w:val="278"/>
          <w:jc w:val="center"/>
        </w:trPr>
        <w:tc>
          <w:tcPr>
            <w:tcW w:w="4820" w:type="dxa"/>
          </w:tcPr>
          <w:p w14:paraId="663FA18E"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Nausea and vomiting</w:t>
            </w:r>
          </w:p>
        </w:tc>
        <w:tc>
          <w:tcPr>
            <w:tcW w:w="4678" w:type="dxa"/>
          </w:tcPr>
          <w:p w14:paraId="3225AAA4"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Nervousness or anxiety</w:t>
            </w:r>
          </w:p>
        </w:tc>
      </w:tr>
      <w:tr w:rsidR="000A21FC" w:rsidRPr="00346BFC" w14:paraId="2851A1D6" w14:textId="77777777" w:rsidTr="00346BFC">
        <w:trPr>
          <w:trHeight w:hRule="exact" w:val="278"/>
          <w:jc w:val="center"/>
        </w:trPr>
        <w:tc>
          <w:tcPr>
            <w:tcW w:w="4820" w:type="dxa"/>
          </w:tcPr>
          <w:p w14:paraId="067CD5A3"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Blurred or fuzzy vision</w:t>
            </w:r>
          </w:p>
        </w:tc>
        <w:tc>
          <w:tcPr>
            <w:tcW w:w="4678" w:type="dxa"/>
          </w:tcPr>
          <w:p w14:paraId="7E1C8CC7"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Feeling more emotional</w:t>
            </w:r>
          </w:p>
        </w:tc>
      </w:tr>
      <w:tr w:rsidR="000A21FC" w:rsidRPr="00346BFC" w14:paraId="65F1BD98" w14:textId="77777777" w:rsidTr="00346BFC">
        <w:trPr>
          <w:trHeight w:hRule="exact" w:val="278"/>
          <w:jc w:val="center"/>
        </w:trPr>
        <w:tc>
          <w:tcPr>
            <w:tcW w:w="4820" w:type="dxa"/>
          </w:tcPr>
          <w:p w14:paraId="5EBA45D0"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Sensitivity to light or sound</w:t>
            </w:r>
          </w:p>
        </w:tc>
        <w:tc>
          <w:tcPr>
            <w:tcW w:w="4678" w:type="dxa"/>
          </w:tcPr>
          <w:p w14:paraId="2B1529CF"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Sleeping more or sleeping less</w:t>
            </w:r>
          </w:p>
        </w:tc>
      </w:tr>
      <w:tr w:rsidR="000A21FC" w:rsidRPr="00346BFC" w14:paraId="25A8EE5C" w14:textId="77777777" w:rsidTr="00346BFC">
        <w:trPr>
          <w:trHeight w:hRule="exact" w:val="278"/>
          <w:jc w:val="center"/>
        </w:trPr>
        <w:tc>
          <w:tcPr>
            <w:tcW w:w="4820" w:type="dxa"/>
          </w:tcPr>
          <w:p w14:paraId="0603506E"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Balance problems</w:t>
            </w:r>
          </w:p>
        </w:tc>
        <w:tc>
          <w:tcPr>
            <w:tcW w:w="4678" w:type="dxa"/>
          </w:tcPr>
          <w:p w14:paraId="48314821"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 xml:space="preserve">Having a hard time falling asleep </w:t>
            </w:r>
          </w:p>
        </w:tc>
      </w:tr>
      <w:tr w:rsidR="000A21FC" w:rsidRPr="00346BFC" w14:paraId="07F0BFF1" w14:textId="77777777" w:rsidTr="00346BFC">
        <w:trPr>
          <w:trHeight w:hRule="exact" w:val="278"/>
          <w:jc w:val="center"/>
        </w:trPr>
        <w:tc>
          <w:tcPr>
            <w:tcW w:w="4820" w:type="dxa"/>
          </w:tcPr>
          <w:p w14:paraId="5CCD0720"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Feeling tired or having no energy</w:t>
            </w:r>
          </w:p>
        </w:tc>
        <w:tc>
          <w:tcPr>
            <w:tcW w:w="4678" w:type="dxa"/>
          </w:tcPr>
          <w:p w14:paraId="4097504F"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Difficulty working on a computer</w:t>
            </w:r>
          </w:p>
        </w:tc>
      </w:tr>
      <w:tr w:rsidR="000A21FC" w:rsidRPr="00346BFC" w14:paraId="23A84CAD" w14:textId="77777777" w:rsidTr="00346BFC">
        <w:trPr>
          <w:trHeight w:hRule="exact" w:val="278"/>
          <w:jc w:val="center"/>
        </w:trPr>
        <w:tc>
          <w:tcPr>
            <w:tcW w:w="4820" w:type="dxa"/>
          </w:tcPr>
          <w:p w14:paraId="3A0040D7"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Not thinking clearly</w:t>
            </w:r>
          </w:p>
        </w:tc>
        <w:tc>
          <w:tcPr>
            <w:tcW w:w="4678" w:type="dxa"/>
          </w:tcPr>
          <w:p w14:paraId="36C44C1A"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Difficulty reading</w:t>
            </w:r>
          </w:p>
        </w:tc>
      </w:tr>
      <w:tr w:rsidR="000A21FC" w:rsidRPr="00346BFC" w14:paraId="35D1F47D" w14:textId="77777777" w:rsidTr="00346BFC">
        <w:trPr>
          <w:trHeight w:hRule="exact" w:val="278"/>
          <w:jc w:val="center"/>
        </w:trPr>
        <w:tc>
          <w:tcPr>
            <w:tcW w:w="4820" w:type="dxa"/>
          </w:tcPr>
          <w:p w14:paraId="0A924A6A"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Feeling slowed down</w:t>
            </w:r>
          </w:p>
        </w:tc>
        <w:tc>
          <w:tcPr>
            <w:tcW w:w="4678" w:type="dxa"/>
          </w:tcPr>
          <w:p w14:paraId="293D7583" w14:textId="77777777" w:rsidR="000A21FC" w:rsidRPr="00346BFC" w:rsidRDefault="000A21FC" w:rsidP="00346BFC">
            <w:pPr>
              <w:numPr>
                <w:ilvl w:val="0"/>
                <w:numId w:val="3"/>
              </w:numPr>
              <w:ind w:left="357" w:hanging="357"/>
              <w:rPr>
                <w:rFonts w:cs="Arial"/>
                <w:sz w:val="22"/>
                <w:szCs w:val="22"/>
              </w:rPr>
            </w:pPr>
            <w:r w:rsidRPr="00346BFC">
              <w:rPr>
                <w:rFonts w:cs="Arial"/>
                <w:sz w:val="22"/>
                <w:szCs w:val="22"/>
              </w:rPr>
              <w:t>Difficulty learning new information</w:t>
            </w:r>
          </w:p>
        </w:tc>
      </w:tr>
    </w:tbl>
    <w:p w14:paraId="348BFF42" w14:textId="77777777" w:rsidR="000A21FC" w:rsidRPr="00D7793A" w:rsidRDefault="000A21FC" w:rsidP="00547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0"/>
          <w:szCs w:val="22"/>
        </w:rPr>
      </w:pPr>
    </w:p>
    <w:p w14:paraId="31549BF8"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ARE THE VISUAL SIGNS OF A CONCUSSION?</w:t>
      </w:r>
    </w:p>
    <w:p w14:paraId="5C706D23" w14:textId="05D4C5FE" w:rsidR="000A21FC" w:rsidRPr="00346BFC" w:rsidRDefault="000A21FC" w:rsidP="000D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Calibri"/>
          <w:color w:val="000000"/>
          <w:sz w:val="22"/>
          <w:szCs w:val="22"/>
        </w:rPr>
      </w:pPr>
      <w:r w:rsidRPr="00346BFC">
        <w:rPr>
          <w:rFonts w:cs="Calibri"/>
          <w:color w:val="000000"/>
          <w:sz w:val="22"/>
          <w:szCs w:val="22"/>
        </w:rPr>
        <w:t>Visual signs of a concussion may include:</w:t>
      </w:r>
    </w:p>
    <w:tbl>
      <w:tblPr>
        <w:tblW w:w="9861" w:type="dxa"/>
        <w:jc w:val="center"/>
        <w:tblLook w:val="00A0" w:firstRow="1" w:lastRow="0" w:firstColumn="1" w:lastColumn="0" w:noHBand="0" w:noVBand="0"/>
      </w:tblPr>
      <w:tblGrid>
        <w:gridCol w:w="5020"/>
        <w:gridCol w:w="4841"/>
      </w:tblGrid>
      <w:tr w:rsidR="002673B8" w:rsidRPr="00346BFC" w14:paraId="3BBF4FF1" w14:textId="77777777" w:rsidTr="00346BFC">
        <w:trPr>
          <w:trHeight w:hRule="exact" w:val="278"/>
          <w:jc w:val="center"/>
        </w:trPr>
        <w:tc>
          <w:tcPr>
            <w:tcW w:w="5020" w:type="dxa"/>
          </w:tcPr>
          <w:p w14:paraId="3E4A7EC8" w14:textId="77777777" w:rsidR="000A21FC" w:rsidRPr="00346BFC" w:rsidRDefault="000A21FC" w:rsidP="00346BFC">
            <w:pPr>
              <w:numPr>
                <w:ilvl w:val="0"/>
                <w:numId w:val="4"/>
              </w:numPr>
              <w:ind w:left="548" w:hanging="352"/>
              <w:rPr>
                <w:rFonts w:cs="Arial"/>
                <w:sz w:val="22"/>
                <w:szCs w:val="22"/>
              </w:rPr>
            </w:pPr>
            <w:r w:rsidRPr="00346BFC">
              <w:rPr>
                <w:rFonts w:cs="Arial"/>
                <w:sz w:val="22"/>
                <w:szCs w:val="22"/>
              </w:rPr>
              <w:t>Lying motionless on the playing surface</w:t>
            </w:r>
          </w:p>
        </w:tc>
        <w:tc>
          <w:tcPr>
            <w:tcW w:w="4841" w:type="dxa"/>
          </w:tcPr>
          <w:p w14:paraId="4AEE8709" w14:textId="77777777" w:rsidR="000A21FC" w:rsidRPr="00346BFC" w:rsidRDefault="000A21FC" w:rsidP="00346BFC">
            <w:pPr>
              <w:numPr>
                <w:ilvl w:val="0"/>
                <w:numId w:val="4"/>
              </w:numPr>
              <w:ind w:hanging="352"/>
              <w:rPr>
                <w:rFonts w:cs="Arial"/>
                <w:sz w:val="22"/>
                <w:szCs w:val="22"/>
              </w:rPr>
            </w:pPr>
            <w:r w:rsidRPr="00346BFC">
              <w:rPr>
                <w:rFonts w:cs="Arial"/>
                <w:sz w:val="22"/>
                <w:szCs w:val="22"/>
              </w:rPr>
              <w:t>Blank or vacant stare</w:t>
            </w:r>
          </w:p>
        </w:tc>
      </w:tr>
      <w:tr w:rsidR="002673B8" w:rsidRPr="00346BFC" w14:paraId="7B75E267" w14:textId="77777777" w:rsidTr="00346BFC">
        <w:trPr>
          <w:trHeight w:val="558"/>
          <w:jc w:val="center"/>
        </w:trPr>
        <w:tc>
          <w:tcPr>
            <w:tcW w:w="5020" w:type="dxa"/>
          </w:tcPr>
          <w:p w14:paraId="356AAB11" w14:textId="77777777" w:rsidR="000A21FC" w:rsidRPr="00346BFC" w:rsidRDefault="000A21FC" w:rsidP="00346BFC">
            <w:pPr>
              <w:numPr>
                <w:ilvl w:val="0"/>
                <w:numId w:val="4"/>
              </w:numPr>
              <w:ind w:left="548" w:hanging="352"/>
              <w:rPr>
                <w:rFonts w:cs="Arial"/>
                <w:sz w:val="22"/>
                <w:szCs w:val="22"/>
              </w:rPr>
            </w:pPr>
            <w:r w:rsidRPr="00346BFC">
              <w:rPr>
                <w:rFonts w:cs="Arial"/>
                <w:sz w:val="22"/>
                <w:szCs w:val="22"/>
              </w:rPr>
              <w:t>Slow to get up after a direct or indirect hit to the head</w:t>
            </w:r>
          </w:p>
        </w:tc>
        <w:tc>
          <w:tcPr>
            <w:tcW w:w="4841" w:type="dxa"/>
          </w:tcPr>
          <w:p w14:paraId="58316ED6" w14:textId="77777777" w:rsidR="000A21FC" w:rsidRPr="00346BFC" w:rsidRDefault="000A21FC" w:rsidP="00346BFC">
            <w:pPr>
              <w:numPr>
                <w:ilvl w:val="0"/>
                <w:numId w:val="4"/>
              </w:numPr>
              <w:ind w:hanging="352"/>
              <w:rPr>
                <w:rFonts w:cs="Arial"/>
                <w:sz w:val="22"/>
                <w:szCs w:val="22"/>
              </w:rPr>
            </w:pPr>
            <w:r w:rsidRPr="00346BFC">
              <w:rPr>
                <w:rFonts w:cs="Arial"/>
                <w:sz w:val="22"/>
                <w:szCs w:val="22"/>
              </w:rPr>
              <w:t xml:space="preserve">Balance, gait difficulties, motor incoordination, stumbling, slow labored movements </w:t>
            </w:r>
          </w:p>
        </w:tc>
      </w:tr>
      <w:tr w:rsidR="002673B8" w:rsidRPr="00346BFC" w14:paraId="05A6F72B" w14:textId="77777777" w:rsidTr="00346BFC">
        <w:trPr>
          <w:trHeight w:val="577"/>
          <w:jc w:val="center"/>
        </w:trPr>
        <w:tc>
          <w:tcPr>
            <w:tcW w:w="5020" w:type="dxa"/>
          </w:tcPr>
          <w:p w14:paraId="747B8160" w14:textId="77777777" w:rsidR="000A21FC" w:rsidRPr="00346BFC" w:rsidRDefault="000A21FC" w:rsidP="00346BFC">
            <w:pPr>
              <w:numPr>
                <w:ilvl w:val="0"/>
                <w:numId w:val="4"/>
              </w:numPr>
              <w:ind w:left="548" w:hanging="352"/>
              <w:rPr>
                <w:rFonts w:cs="Arial"/>
                <w:sz w:val="22"/>
                <w:szCs w:val="22"/>
              </w:rPr>
            </w:pPr>
            <w:r w:rsidRPr="00346BFC">
              <w:rPr>
                <w:rFonts w:cs="Arial"/>
                <w:sz w:val="22"/>
                <w:szCs w:val="22"/>
              </w:rPr>
              <w:t>Disorientation or confusion or inability to respond appropriately to questions</w:t>
            </w:r>
          </w:p>
        </w:tc>
        <w:tc>
          <w:tcPr>
            <w:tcW w:w="4841" w:type="dxa"/>
          </w:tcPr>
          <w:p w14:paraId="411F38BC" w14:textId="77777777" w:rsidR="000A21FC" w:rsidRPr="00346BFC" w:rsidRDefault="000A21FC" w:rsidP="00346BFC">
            <w:pPr>
              <w:numPr>
                <w:ilvl w:val="0"/>
                <w:numId w:val="4"/>
              </w:numPr>
              <w:ind w:hanging="352"/>
              <w:rPr>
                <w:rFonts w:cs="Arial"/>
                <w:sz w:val="22"/>
                <w:szCs w:val="22"/>
              </w:rPr>
            </w:pPr>
            <w:r w:rsidRPr="00346BFC">
              <w:rPr>
                <w:rFonts w:cs="Arial"/>
                <w:sz w:val="22"/>
                <w:szCs w:val="22"/>
              </w:rPr>
              <w:t>Facial injury after head trauma</w:t>
            </w:r>
          </w:p>
          <w:p w14:paraId="65D05DAF" w14:textId="77777777" w:rsidR="000A21FC" w:rsidRPr="00346BFC" w:rsidRDefault="000A21FC" w:rsidP="00346BFC">
            <w:pPr>
              <w:numPr>
                <w:ilvl w:val="0"/>
                <w:numId w:val="4"/>
              </w:numPr>
              <w:ind w:hanging="352"/>
              <w:rPr>
                <w:rFonts w:cs="Arial"/>
                <w:sz w:val="22"/>
                <w:szCs w:val="22"/>
              </w:rPr>
            </w:pPr>
            <w:r w:rsidRPr="00346BFC">
              <w:rPr>
                <w:rFonts w:cs="Arial"/>
                <w:sz w:val="22"/>
                <w:szCs w:val="22"/>
              </w:rPr>
              <w:t>Clutching head</w:t>
            </w:r>
          </w:p>
        </w:tc>
      </w:tr>
    </w:tbl>
    <w:p w14:paraId="5DD87FB3"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0"/>
          <w:szCs w:val="22"/>
        </w:rPr>
      </w:pPr>
    </w:p>
    <w:p w14:paraId="3753FF71"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WHAT SHOULD I DO IF I SUSPECT A CONCUSSION?</w:t>
      </w:r>
    </w:p>
    <w:p w14:paraId="2C7B7376" w14:textId="77777777" w:rsidR="000A21FC" w:rsidRPr="00346BFC" w:rsidRDefault="000A21FC" w:rsidP="0026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rPr>
      </w:pPr>
      <w:r w:rsidRPr="00346BFC">
        <w:rPr>
          <w:rFonts w:cs="Calibri"/>
          <w:color w:val="000000"/>
          <w:sz w:val="22"/>
          <w:szCs w:val="22"/>
        </w:rPr>
        <w:t>If any athlete is suspected of sustaining a concussion during sports they should be immediately removed from play. Any athlete who is suspected of having sustained a concussion during sports must not be allowed to return to the same game or practice.</w:t>
      </w:r>
    </w:p>
    <w:p w14:paraId="3D3D82B6" w14:textId="77777777" w:rsidR="00346BFC" w:rsidRPr="00800269"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FB0207"/>
          <w:sz w:val="20"/>
          <w:szCs w:val="22"/>
        </w:rPr>
      </w:pPr>
      <w:r w:rsidRPr="00800269">
        <w:rPr>
          <w:rFonts w:cs="Calibri"/>
          <w:b/>
          <w:color w:val="FB0207"/>
          <w:sz w:val="20"/>
          <w:szCs w:val="22"/>
        </w:rPr>
        <w:t>It is important that ALL athletes with a suspected concussion undergo medical assessment by a medical doctor or nurse practitioner, as soon as possible. It is also important that ALL athletes with a suspected concussion receive written medical clearance from a medical doctor or nurse practitioner before returning to sport activities.</w:t>
      </w:r>
    </w:p>
    <w:p w14:paraId="56475DD8" w14:textId="7BCC5BAD"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FB0207"/>
          <w:sz w:val="22"/>
          <w:szCs w:val="22"/>
        </w:rPr>
      </w:pPr>
      <w:r w:rsidRPr="00346BFC">
        <w:rPr>
          <w:rFonts w:cs="Calibri"/>
          <w:b/>
          <w:bCs/>
          <w:color w:val="000000"/>
          <w:sz w:val="22"/>
          <w:szCs w:val="22"/>
        </w:rPr>
        <w:lastRenderedPageBreak/>
        <w:t>WHEN CAN THE ATHLETE RETURN TO SCHOOL AND SPORTS?</w:t>
      </w:r>
    </w:p>
    <w:p w14:paraId="78F41084" w14:textId="77777777" w:rsidR="003655C1" w:rsidRDefault="003655C1" w:rsidP="003655C1">
      <w:pPr>
        <w:pStyle w:val="NoSpacing"/>
      </w:pPr>
    </w:p>
    <w:p w14:paraId="17F73A6B" w14:textId="77777777" w:rsidR="00800269" w:rsidRPr="00237ED4" w:rsidRDefault="00800269" w:rsidP="00800269">
      <w:pPr>
        <w:spacing w:after="120"/>
        <w:rPr>
          <w:rFonts w:cs="Times New Roman"/>
          <w:b/>
          <w:i/>
        </w:rPr>
      </w:pPr>
      <w:r w:rsidRPr="00237ED4">
        <w:rPr>
          <w:rFonts w:cs="Arial"/>
          <w:b/>
          <w:i/>
        </w:rPr>
        <w:t>Return-to-School Strategy</w:t>
      </w:r>
    </w:p>
    <w:p w14:paraId="0288E26F" w14:textId="77777777" w:rsidR="00800269" w:rsidRPr="00AC63A7" w:rsidRDefault="00800269" w:rsidP="00800269">
      <w:pPr>
        <w:rPr>
          <w:rFonts w:cs="Arial"/>
        </w:rPr>
      </w:pPr>
      <w:r w:rsidRPr="00AC63A7">
        <w:rPr>
          <w:rFonts w:cs="Arial"/>
        </w:rPr>
        <w:t xml:space="preserve">The following is an outline of the </w:t>
      </w:r>
      <w:r w:rsidRPr="00AC63A7">
        <w:rPr>
          <w:rFonts w:cs="Arial"/>
          <w:i/>
        </w:rPr>
        <w:t>Return-to-School Strategy</w:t>
      </w:r>
      <w:r w:rsidRPr="00AC63A7">
        <w:rPr>
          <w:rFonts w:cs="Arial"/>
        </w:rPr>
        <w:t xml:space="preserve"> that should be used to help student-athletes, parents, and teachers to collaborate in allowing the athlete to make a gradual return to school activities.</w:t>
      </w:r>
      <w:r>
        <w:rPr>
          <w:rFonts w:cs="Arial"/>
        </w:rPr>
        <w:t xml:space="preserve"> </w:t>
      </w:r>
      <w:r w:rsidRPr="00AC63A7">
        <w:rPr>
          <w:rFonts w:cs="Times New Roman"/>
        </w:rPr>
        <w:t>An initial period of 24-48 hours of rest is recommended before starting the</w:t>
      </w:r>
      <w:r>
        <w:rPr>
          <w:rFonts w:cs="Arial"/>
          <w:i/>
        </w:rPr>
        <w:t xml:space="preserve"> Return-to-School</w:t>
      </w:r>
      <w:r w:rsidRPr="00442EC6">
        <w:rPr>
          <w:rFonts w:cs="Arial"/>
          <w:i/>
        </w:rPr>
        <w:t xml:space="preserve"> Strategy</w:t>
      </w:r>
      <w:r w:rsidRPr="00442EC6">
        <w:rPr>
          <w:rFonts w:cs="Times New Roman"/>
          <w:i/>
        </w:rPr>
        <w:t>.</w:t>
      </w:r>
      <w:r w:rsidRPr="00AC63A7">
        <w:rPr>
          <w:rFonts w:cs="Times New Roman"/>
        </w:rPr>
        <w:t xml:space="preserve"> </w:t>
      </w:r>
      <w:r w:rsidRPr="003D1BD6">
        <w:rPr>
          <w:rFonts w:cs="Arial"/>
        </w:rPr>
        <w:t xml:space="preserve">The </w:t>
      </w:r>
      <w:r>
        <w:rPr>
          <w:rFonts w:cs="Arial"/>
        </w:rPr>
        <w:t>student-</w:t>
      </w:r>
      <w:r w:rsidRPr="003D1BD6">
        <w:rPr>
          <w:rFonts w:cs="Arial"/>
        </w:rPr>
        <w:t>athlete should spend a minimum duration of 24 hours without symptom increases at each stage before progressing to the next one</w:t>
      </w:r>
      <w:r>
        <w:rPr>
          <w:rFonts w:cs="Arial"/>
        </w:rPr>
        <w:t>.</w:t>
      </w:r>
      <w:r w:rsidRPr="00AC63A7">
        <w:rPr>
          <w:rFonts w:cs="Arial"/>
        </w:rPr>
        <w:t xml:space="preserve">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14:paraId="58635B58" w14:textId="77777777" w:rsidR="00800269" w:rsidRPr="00AC63A7" w:rsidRDefault="00800269" w:rsidP="00800269">
      <w:pPr>
        <w:rPr>
          <w:rFonts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800269" w:rsidRPr="00AC63A7" w14:paraId="6F9B2057" w14:textId="77777777" w:rsidTr="009A46EF">
        <w:tc>
          <w:tcPr>
            <w:tcW w:w="675" w:type="dxa"/>
          </w:tcPr>
          <w:p w14:paraId="76B42073" w14:textId="77777777" w:rsidR="00800269" w:rsidRPr="00AC63A7" w:rsidRDefault="00800269" w:rsidP="009A46EF">
            <w:pPr>
              <w:jc w:val="center"/>
              <w:rPr>
                <w:rFonts w:cs="Arial"/>
                <w:sz w:val="20"/>
                <w:szCs w:val="20"/>
              </w:rPr>
            </w:pPr>
            <w:r w:rsidRPr="00AC63A7">
              <w:rPr>
                <w:rFonts w:cs="Arial"/>
                <w:b/>
                <w:color w:val="000000" w:themeColor="text1"/>
                <w:sz w:val="20"/>
                <w:szCs w:val="20"/>
              </w:rPr>
              <w:t>Stage</w:t>
            </w:r>
          </w:p>
        </w:tc>
        <w:tc>
          <w:tcPr>
            <w:tcW w:w="1701" w:type="dxa"/>
          </w:tcPr>
          <w:p w14:paraId="774DD8AE" w14:textId="77777777" w:rsidR="00800269" w:rsidRPr="00AC63A7" w:rsidRDefault="00800269" w:rsidP="009A46EF">
            <w:pPr>
              <w:jc w:val="center"/>
              <w:rPr>
                <w:rFonts w:cs="Arial"/>
                <w:sz w:val="20"/>
                <w:szCs w:val="20"/>
              </w:rPr>
            </w:pPr>
            <w:r w:rsidRPr="00AC63A7">
              <w:rPr>
                <w:rFonts w:cs="Arial"/>
                <w:b/>
                <w:color w:val="000000" w:themeColor="text1"/>
                <w:sz w:val="20"/>
                <w:szCs w:val="20"/>
              </w:rPr>
              <w:t>Aim</w:t>
            </w:r>
          </w:p>
        </w:tc>
        <w:tc>
          <w:tcPr>
            <w:tcW w:w="3828" w:type="dxa"/>
          </w:tcPr>
          <w:p w14:paraId="007E83A0" w14:textId="77777777" w:rsidR="00800269" w:rsidRPr="00AC63A7" w:rsidRDefault="00800269" w:rsidP="009A46EF">
            <w:pPr>
              <w:jc w:val="center"/>
              <w:rPr>
                <w:rFonts w:cs="Arial"/>
                <w:sz w:val="20"/>
                <w:szCs w:val="20"/>
              </w:rPr>
            </w:pPr>
            <w:r w:rsidRPr="00AC63A7">
              <w:rPr>
                <w:rFonts w:cs="Arial"/>
                <w:b/>
                <w:color w:val="000000" w:themeColor="text1"/>
                <w:sz w:val="20"/>
                <w:szCs w:val="20"/>
              </w:rPr>
              <w:t>Activity</w:t>
            </w:r>
          </w:p>
        </w:tc>
        <w:tc>
          <w:tcPr>
            <w:tcW w:w="2652" w:type="dxa"/>
          </w:tcPr>
          <w:p w14:paraId="108C40B5" w14:textId="77777777" w:rsidR="00800269" w:rsidRPr="00AC63A7" w:rsidRDefault="00800269" w:rsidP="009A46EF">
            <w:pPr>
              <w:jc w:val="center"/>
              <w:rPr>
                <w:rFonts w:cs="Arial"/>
                <w:sz w:val="20"/>
                <w:szCs w:val="20"/>
              </w:rPr>
            </w:pPr>
            <w:r w:rsidRPr="00AC63A7">
              <w:rPr>
                <w:rFonts w:cs="Arial"/>
                <w:b/>
                <w:color w:val="000000" w:themeColor="text1"/>
                <w:sz w:val="20"/>
                <w:szCs w:val="20"/>
              </w:rPr>
              <w:t>Goal of each step</w:t>
            </w:r>
          </w:p>
        </w:tc>
      </w:tr>
      <w:tr w:rsidR="00800269" w:rsidRPr="00AC63A7" w14:paraId="5B716EB2" w14:textId="77777777" w:rsidTr="009A46EF">
        <w:tc>
          <w:tcPr>
            <w:tcW w:w="675" w:type="dxa"/>
          </w:tcPr>
          <w:p w14:paraId="2D34A4FA" w14:textId="77777777" w:rsidR="00800269" w:rsidRPr="00AC63A7" w:rsidRDefault="00800269" w:rsidP="009A46EF">
            <w:pPr>
              <w:jc w:val="center"/>
              <w:rPr>
                <w:rFonts w:cs="Arial"/>
                <w:b/>
                <w:sz w:val="20"/>
                <w:szCs w:val="20"/>
              </w:rPr>
            </w:pPr>
            <w:r w:rsidRPr="00AC63A7">
              <w:rPr>
                <w:rFonts w:cs="Arial"/>
                <w:b/>
                <w:sz w:val="20"/>
                <w:szCs w:val="20"/>
              </w:rPr>
              <w:t>1</w:t>
            </w:r>
          </w:p>
        </w:tc>
        <w:tc>
          <w:tcPr>
            <w:tcW w:w="1701" w:type="dxa"/>
          </w:tcPr>
          <w:p w14:paraId="57A9D453" w14:textId="77777777" w:rsidR="00800269" w:rsidRPr="00AC63A7" w:rsidRDefault="00800269" w:rsidP="009A46EF">
            <w:pPr>
              <w:rPr>
                <w:rFonts w:cs="Arial"/>
                <w:sz w:val="20"/>
                <w:szCs w:val="20"/>
              </w:rPr>
            </w:pPr>
            <w:r w:rsidRPr="00AC63A7">
              <w:rPr>
                <w:rFonts w:cs="Arial"/>
                <w:sz w:val="20"/>
                <w:szCs w:val="20"/>
              </w:rPr>
              <w:t>Daily activities at home that do not give the student-athlete symptoms</w:t>
            </w:r>
          </w:p>
        </w:tc>
        <w:tc>
          <w:tcPr>
            <w:tcW w:w="3828" w:type="dxa"/>
          </w:tcPr>
          <w:p w14:paraId="29435543" w14:textId="77777777" w:rsidR="00800269" w:rsidRPr="00AC63A7" w:rsidRDefault="00800269" w:rsidP="009A46EF">
            <w:pPr>
              <w:rPr>
                <w:rFonts w:cs="Arial"/>
                <w:sz w:val="20"/>
                <w:szCs w:val="20"/>
              </w:rPr>
            </w:pPr>
            <w:r w:rsidRPr="00AC63A7">
              <w:rPr>
                <w:rFonts w:cs="Arial"/>
                <w:sz w:val="20"/>
                <w:szCs w:val="20"/>
              </w:rPr>
              <w:t>Typical activities during the day as long as they do not increase symptoms (i.e. reading, texting, screen time)</w:t>
            </w:r>
            <w:r>
              <w:rPr>
                <w:rFonts w:cs="Arial"/>
                <w:sz w:val="20"/>
                <w:szCs w:val="20"/>
              </w:rPr>
              <w:t xml:space="preserve">. </w:t>
            </w:r>
            <w:r w:rsidRPr="00AC63A7">
              <w:rPr>
                <w:rFonts w:cs="Arial"/>
                <w:sz w:val="20"/>
                <w:szCs w:val="20"/>
              </w:rPr>
              <w:t>Start at 5-15 minutes at a time and gradually build up</w:t>
            </w:r>
            <w:r>
              <w:rPr>
                <w:rFonts w:cs="Arial"/>
                <w:sz w:val="20"/>
                <w:szCs w:val="20"/>
              </w:rPr>
              <w:t>.</w:t>
            </w:r>
          </w:p>
        </w:tc>
        <w:tc>
          <w:tcPr>
            <w:tcW w:w="2652" w:type="dxa"/>
          </w:tcPr>
          <w:p w14:paraId="172AAE67" w14:textId="77777777" w:rsidR="00800269" w:rsidRPr="00AC63A7" w:rsidRDefault="00800269" w:rsidP="009A46EF">
            <w:pPr>
              <w:rPr>
                <w:rFonts w:cs="Arial"/>
                <w:sz w:val="20"/>
                <w:szCs w:val="20"/>
              </w:rPr>
            </w:pPr>
            <w:r w:rsidRPr="00AC63A7">
              <w:rPr>
                <w:rFonts w:cs="Arial"/>
                <w:sz w:val="20"/>
                <w:szCs w:val="20"/>
              </w:rPr>
              <w:t>Gradual return to typical activities</w:t>
            </w:r>
          </w:p>
        </w:tc>
      </w:tr>
      <w:tr w:rsidR="00800269" w:rsidRPr="00AC63A7" w14:paraId="1F7A5ABB" w14:textId="77777777" w:rsidTr="009A46EF">
        <w:tc>
          <w:tcPr>
            <w:tcW w:w="675" w:type="dxa"/>
          </w:tcPr>
          <w:p w14:paraId="29B0953B" w14:textId="77777777" w:rsidR="00800269" w:rsidRPr="00AC63A7" w:rsidRDefault="00800269" w:rsidP="009A46EF">
            <w:pPr>
              <w:jc w:val="center"/>
              <w:rPr>
                <w:rFonts w:cs="Arial"/>
                <w:b/>
                <w:sz w:val="20"/>
                <w:szCs w:val="20"/>
              </w:rPr>
            </w:pPr>
            <w:r w:rsidRPr="00AC63A7">
              <w:rPr>
                <w:rFonts w:cs="Arial"/>
                <w:b/>
                <w:sz w:val="20"/>
                <w:szCs w:val="20"/>
              </w:rPr>
              <w:t>2</w:t>
            </w:r>
          </w:p>
        </w:tc>
        <w:tc>
          <w:tcPr>
            <w:tcW w:w="1701" w:type="dxa"/>
          </w:tcPr>
          <w:p w14:paraId="7659C7DB" w14:textId="77777777" w:rsidR="00800269" w:rsidRPr="00AC63A7" w:rsidRDefault="00800269" w:rsidP="009A46EF">
            <w:pPr>
              <w:rPr>
                <w:rFonts w:cs="Arial"/>
                <w:sz w:val="20"/>
                <w:szCs w:val="20"/>
              </w:rPr>
            </w:pPr>
            <w:r w:rsidRPr="00AC63A7">
              <w:rPr>
                <w:rFonts w:cs="Arial"/>
                <w:sz w:val="20"/>
                <w:szCs w:val="20"/>
              </w:rPr>
              <w:t>School activities</w:t>
            </w:r>
          </w:p>
        </w:tc>
        <w:tc>
          <w:tcPr>
            <w:tcW w:w="3828" w:type="dxa"/>
          </w:tcPr>
          <w:p w14:paraId="6D550B13" w14:textId="77777777" w:rsidR="00800269" w:rsidRPr="00AC63A7" w:rsidRDefault="00800269" w:rsidP="009A46EF">
            <w:pPr>
              <w:rPr>
                <w:rFonts w:cs="Arial"/>
                <w:sz w:val="20"/>
                <w:szCs w:val="20"/>
              </w:rPr>
            </w:pPr>
            <w:r w:rsidRPr="00AC63A7">
              <w:rPr>
                <w:rFonts w:cs="Arial"/>
                <w:sz w:val="20"/>
                <w:szCs w:val="20"/>
              </w:rPr>
              <w:t>Homework, reading or other cognitive activities outside of the classroom</w:t>
            </w:r>
            <w:r>
              <w:rPr>
                <w:rFonts w:cs="Arial"/>
                <w:sz w:val="20"/>
                <w:szCs w:val="20"/>
              </w:rPr>
              <w:t>.</w:t>
            </w:r>
          </w:p>
        </w:tc>
        <w:tc>
          <w:tcPr>
            <w:tcW w:w="2652" w:type="dxa"/>
          </w:tcPr>
          <w:p w14:paraId="7296D51B" w14:textId="77777777" w:rsidR="00800269" w:rsidRPr="00AC63A7" w:rsidRDefault="00800269" w:rsidP="009A46EF">
            <w:pPr>
              <w:rPr>
                <w:rFonts w:cs="Arial"/>
                <w:sz w:val="20"/>
                <w:szCs w:val="20"/>
              </w:rPr>
            </w:pPr>
            <w:r w:rsidRPr="00AC63A7">
              <w:rPr>
                <w:rFonts w:cs="Arial"/>
                <w:sz w:val="20"/>
                <w:szCs w:val="20"/>
              </w:rPr>
              <w:t>Increase tolerance to cognitive work</w:t>
            </w:r>
          </w:p>
        </w:tc>
      </w:tr>
      <w:tr w:rsidR="00800269" w:rsidRPr="00AC63A7" w14:paraId="49F426FB" w14:textId="77777777" w:rsidTr="009A46EF">
        <w:tc>
          <w:tcPr>
            <w:tcW w:w="675" w:type="dxa"/>
          </w:tcPr>
          <w:p w14:paraId="33F77D65" w14:textId="77777777" w:rsidR="00800269" w:rsidRPr="00AC63A7" w:rsidRDefault="00800269" w:rsidP="009A46EF">
            <w:pPr>
              <w:jc w:val="center"/>
              <w:rPr>
                <w:rFonts w:cs="Arial"/>
                <w:b/>
                <w:sz w:val="20"/>
                <w:szCs w:val="20"/>
              </w:rPr>
            </w:pPr>
            <w:r w:rsidRPr="00AC63A7">
              <w:rPr>
                <w:rFonts w:cs="Arial"/>
                <w:b/>
                <w:sz w:val="20"/>
                <w:szCs w:val="20"/>
              </w:rPr>
              <w:t>3</w:t>
            </w:r>
          </w:p>
        </w:tc>
        <w:tc>
          <w:tcPr>
            <w:tcW w:w="1701" w:type="dxa"/>
          </w:tcPr>
          <w:p w14:paraId="38924DC7" w14:textId="77777777" w:rsidR="00800269" w:rsidRPr="00AC63A7" w:rsidRDefault="00800269" w:rsidP="009A46EF">
            <w:pPr>
              <w:rPr>
                <w:rFonts w:cs="Arial"/>
                <w:sz w:val="20"/>
                <w:szCs w:val="20"/>
              </w:rPr>
            </w:pPr>
            <w:r w:rsidRPr="00AC63A7">
              <w:rPr>
                <w:rFonts w:cs="Arial"/>
                <w:sz w:val="20"/>
                <w:szCs w:val="20"/>
              </w:rPr>
              <w:t>Return to school part-time</w:t>
            </w:r>
          </w:p>
        </w:tc>
        <w:tc>
          <w:tcPr>
            <w:tcW w:w="3828" w:type="dxa"/>
          </w:tcPr>
          <w:p w14:paraId="5FBEAD13" w14:textId="77777777" w:rsidR="00800269" w:rsidRPr="00AC63A7" w:rsidRDefault="00800269" w:rsidP="009A46EF">
            <w:pPr>
              <w:rPr>
                <w:rFonts w:cs="Arial"/>
                <w:sz w:val="20"/>
                <w:szCs w:val="20"/>
              </w:rPr>
            </w:pPr>
            <w:r w:rsidRPr="00AC63A7">
              <w:rPr>
                <w:rFonts w:cs="Arial"/>
                <w:sz w:val="20"/>
                <w:szCs w:val="20"/>
              </w:rPr>
              <w:t>Gradual introduction of schoolwork. May need to start with a partial school day or with increased breaks during the day</w:t>
            </w:r>
            <w:r>
              <w:rPr>
                <w:rFonts w:cs="Arial"/>
                <w:sz w:val="20"/>
                <w:szCs w:val="20"/>
              </w:rPr>
              <w:t>.</w:t>
            </w:r>
          </w:p>
        </w:tc>
        <w:tc>
          <w:tcPr>
            <w:tcW w:w="2652" w:type="dxa"/>
          </w:tcPr>
          <w:p w14:paraId="31028D51" w14:textId="77777777" w:rsidR="00800269" w:rsidRPr="00AC63A7" w:rsidRDefault="00800269" w:rsidP="009A46EF">
            <w:pPr>
              <w:rPr>
                <w:rFonts w:cs="Arial"/>
                <w:sz w:val="20"/>
                <w:szCs w:val="20"/>
              </w:rPr>
            </w:pPr>
            <w:r w:rsidRPr="00AC63A7">
              <w:rPr>
                <w:rFonts w:cs="Arial"/>
                <w:sz w:val="20"/>
                <w:szCs w:val="20"/>
              </w:rPr>
              <w:t>Increase academic activities</w:t>
            </w:r>
          </w:p>
        </w:tc>
      </w:tr>
      <w:tr w:rsidR="00800269" w:rsidRPr="00AC63A7" w14:paraId="2106D10C" w14:textId="77777777" w:rsidTr="009A46EF">
        <w:tc>
          <w:tcPr>
            <w:tcW w:w="675" w:type="dxa"/>
          </w:tcPr>
          <w:p w14:paraId="36883AC2" w14:textId="77777777" w:rsidR="00800269" w:rsidRPr="00AC63A7" w:rsidRDefault="00800269" w:rsidP="009A46EF">
            <w:pPr>
              <w:jc w:val="center"/>
              <w:rPr>
                <w:rFonts w:cs="Arial"/>
                <w:b/>
                <w:sz w:val="20"/>
                <w:szCs w:val="20"/>
              </w:rPr>
            </w:pPr>
            <w:r w:rsidRPr="00AC63A7">
              <w:rPr>
                <w:rFonts w:cs="Arial"/>
                <w:b/>
                <w:sz w:val="20"/>
                <w:szCs w:val="20"/>
              </w:rPr>
              <w:t>4</w:t>
            </w:r>
          </w:p>
        </w:tc>
        <w:tc>
          <w:tcPr>
            <w:tcW w:w="1701" w:type="dxa"/>
          </w:tcPr>
          <w:p w14:paraId="2342FA92" w14:textId="77777777" w:rsidR="00800269" w:rsidRPr="00AC63A7" w:rsidRDefault="00800269" w:rsidP="009A46EF">
            <w:pPr>
              <w:rPr>
                <w:rFonts w:cs="Arial"/>
                <w:sz w:val="20"/>
                <w:szCs w:val="20"/>
              </w:rPr>
            </w:pPr>
            <w:r w:rsidRPr="00AC63A7">
              <w:rPr>
                <w:rFonts w:cs="Arial"/>
                <w:sz w:val="20"/>
                <w:szCs w:val="20"/>
              </w:rPr>
              <w:t>Return to school full-time</w:t>
            </w:r>
          </w:p>
        </w:tc>
        <w:tc>
          <w:tcPr>
            <w:tcW w:w="3828" w:type="dxa"/>
          </w:tcPr>
          <w:p w14:paraId="5B938190" w14:textId="77777777" w:rsidR="00800269" w:rsidRPr="00AC63A7" w:rsidRDefault="00800269" w:rsidP="009A46EF">
            <w:pPr>
              <w:rPr>
                <w:rFonts w:cs="Arial"/>
                <w:sz w:val="20"/>
                <w:szCs w:val="20"/>
              </w:rPr>
            </w:pPr>
            <w:r w:rsidRPr="00AC63A7">
              <w:rPr>
                <w:rFonts w:cs="Arial"/>
                <w:sz w:val="20"/>
                <w:szCs w:val="20"/>
              </w:rPr>
              <w:t>Gradually progress</w:t>
            </w:r>
          </w:p>
        </w:tc>
        <w:tc>
          <w:tcPr>
            <w:tcW w:w="2652" w:type="dxa"/>
          </w:tcPr>
          <w:p w14:paraId="44DE58F0" w14:textId="77777777" w:rsidR="00800269" w:rsidRPr="00AC63A7" w:rsidRDefault="00800269" w:rsidP="009A46EF">
            <w:pPr>
              <w:rPr>
                <w:rFonts w:cs="Arial"/>
                <w:sz w:val="20"/>
                <w:szCs w:val="20"/>
              </w:rPr>
            </w:pPr>
            <w:r w:rsidRPr="00AC63A7">
              <w:rPr>
                <w:rFonts w:cs="Arial"/>
                <w:sz w:val="20"/>
                <w:szCs w:val="20"/>
              </w:rPr>
              <w:t>Return to full academic activities and catch up on missed school work</w:t>
            </w:r>
          </w:p>
        </w:tc>
      </w:tr>
    </w:tbl>
    <w:p w14:paraId="1D8E7561" w14:textId="77777777" w:rsidR="00800269" w:rsidRPr="003D1BD6" w:rsidRDefault="00800269" w:rsidP="00800269">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2E07266F" w14:textId="77777777" w:rsidR="00800269" w:rsidRPr="00AC63A7" w:rsidRDefault="00800269" w:rsidP="00800269">
      <w:pPr>
        <w:rPr>
          <w:rFonts w:cs="Arial"/>
          <w:b/>
        </w:rPr>
      </w:pPr>
    </w:p>
    <w:p w14:paraId="635A42F8" w14:textId="77777777" w:rsidR="00800269" w:rsidRPr="00442EC6" w:rsidRDefault="00800269" w:rsidP="00800269">
      <w:pPr>
        <w:spacing w:after="120"/>
        <w:rPr>
          <w:rFonts w:cs="Arial"/>
          <w:b/>
          <w:i/>
        </w:rPr>
      </w:pPr>
      <w:r w:rsidRPr="00442EC6">
        <w:rPr>
          <w:rFonts w:cs="Arial"/>
          <w:b/>
          <w:i/>
        </w:rPr>
        <w:t xml:space="preserve">Wheelchair Basketball-Specific Return-to-Sport Strategy </w:t>
      </w:r>
    </w:p>
    <w:p w14:paraId="18C80B59" w14:textId="77777777" w:rsidR="00800269" w:rsidRDefault="00800269" w:rsidP="00800269">
      <w:pPr>
        <w:spacing w:after="120"/>
        <w:rPr>
          <w:rFonts w:cs="Arial"/>
        </w:rPr>
      </w:pPr>
      <w:r w:rsidRPr="00AC63A7">
        <w:rPr>
          <w:rFonts w:cs="Arial"/>
        </w:rPr>
        <w:t xml:space="preserve">The following is an outline of </w:t>
      </w:r>
      <w:r>
        <w:rPr>
          <w:rFonts w:cs="Arial"/>
        </w:rPr>
        <w:t>a basic</w:t>
      </w:r>
      <w:r w:rsidRPr="00AC63A7">
        <w:rPr>
          <w:rFonts w:cs="Arial"/>
        </w:rPr>
        <w:t xml:space="preserve"> Return-to-Sport Strategy</w:t>
      </w:r>
      <w:r>
        <w:rPr>
          <w:rFonts w:cs="Arial"/>
        </w:rPr>
        <w:t xml:space="preserve"> (RTSS)</w:t>
      </w:r>
      <w:r w:rsidRPr="00AC63A7">
        <w:rPr>
          <w:rFonts w:cs="Arial"/>
        </w:rPr>
        <w:t xml:space="preserve"> that should be used to help athletes, coaches, trainers, and medical professionals to partner in allowing the athlete to make a gradual return to sport activities. </w:t>
      </w:r>
      <w:r w:rsidRPr="00AC63A7">
        <w:rPr>
          <w:rFonts w:cs="Times New Roman"/>
        </w:rPr>
        <w:t xml:space="preserve">An initial period of 24-48 hours of rest is recommended before starting </w:t>
      </w:r>
      <w:r>
        <w:rPr>
          <w:rFonts w:cs="Times New Roman"/>
        </w:rPr>
        <w:t>any RTSS</w:t>
      </w:r>
      <w:r w:rsidRPr="00442EC6">
        <w:rPr>
          <w:rFonts w:cs="Times New Roman"/>
          <w:i/>
        </w:rPr>
        <w:t>.</w:t>
      </w:r>
      <w:r w:rsidRPr="00AC63A7">
        <w:rPr>
          <w:rFonts w:cs="Times New Roman"/>
        </w:rPr>
        <w:t xml:space="preserve"> </w:t>
      </w:r>
      <w:r w:rsidRPr="003D1BD6">
        <w:rPr>
          <w:rFonts w:cs="Arial"/>
        </w:rPr>
        <w:t>The athlete should spend a minimum duration of 24 hours without symptom increases at each stage before progressing to the next one</w:t>
      </w:r>
      <w:r>
        <w:rPr>
          <w:rFonts w:cs="Arial"/>
        </w:rPr>
        <w:t>.</w:t>
      </w:r>
      <w:r w:rsidRPr="00AC63A7">
        <w:rPr>
          <w:rFonts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w:t>
      </w:r>
      <w:r w:rsidRPr="00442EC6">
        <w:rPr>
          <w:rFonts w:cs="Arial"/>
        </w:rPr>
        <w:t xml:space="preserve">the </w:t>
      </w:r>
      <w:r w:rsidRPr="00237ED4">
        <w:rPr>
          <w:rFonts w:cs="Arial"/>
        </w:rPr>
        <w:t>RTSS</w:t>
      </w:r>
      <w:r>
        <w:rPr>
          <w:rFonts w:cs="Arial"/>
          <w:b/>
          <w:i/>
        </w:rPr>
        <w:t>.</w:t>
      </w:r>
      <w:r w:rsidRPr="00AC63A7">
        <w:rPr>
          <w:rFonts w:cs="Arial"/>
        </w:rPr>
        <w:t xml:space="preserve"> It is also important that all athletes provide their coach with a </w:t>
      </w:r>
      <w:r w:rsidRPr="00AC63A7">
        <w:rPr>
          <w:rFonts w:cs="Arial"/>
          <w:i/>
        </w:rPr>
        <w:t>Medical Clearance Letter</w:t>
      </w:r>
      <w:r w:rsidRPr="00AC63A7">
        <w:rPr>
          <w:rFonts w:cs="Arial"/>
        </w:rPr>
        <w:t xml:space="preserve"> prior to returning to full </w:t>
      </w:r>
      <w:r>
        <w:rPr>
          <w:rFonts w:cs="Arial"/>
        </w:rPr>
        <w:t xml:space="preserve">contact sport </w:t>
      </w:r>
      <w:r w:rsidRPr="00AC63A7">
        <w:rPr>
          <w:rFonts w:cs="Arial"/>
        </w:rPr>
        <w:t>activities.</w:t>
      </w:r>
    </w:p>
    <w:p w14:paraId="4D681459" w14:textId="77777777" w:rsidR="00800269" w:rsidRPr="00442EC6" w:rsidRDefault="00800269" w:rsidP="00800269">
      <w:pPr>
        <w:spacing w:after="120"/>
        <w:rPr>
          <w:rFonts w:cs="Arial"/>
          <w:b/>
          <w:i/>
        </w:rPr>
      </w:pPr>
    </w:p>
    <w:tbl>
      <w:tblPr>
        <w:tblStyle w:val="TableGrid"/>
        <w:tblW w:w="9346" w:type="dxa"/>
        <w:tblLayout w:type="fixed"/>
        <w:tblLook w:val="04A0" w:firstRow="1" w:lastRow="0" w:firstColumn="1" w:lastColumn="0" w:noHBand="0" w:noVBand="1"/>
      </w:tblPr>
      <w:tblGrid>
        <w:gridCol w:w="846"/>
        <w:gridCol w:w="2126"/>
        <w:gridCol w:w="3827"/>
        <w:gridCol w:w="2547"/>
      </w:tblGrid>
      <w:tr w:rsidR="00800269" w:rsidRPr="00AC63A7" w14:paraId="065A603D" w14:textId="77777777" w:rsidTr="009A46EF">
        <w:trPr>
          <w:trHeight w:val="488"/>
        </w:trPr>
        <w:tc>
          <w:tcPr>
            <w:tcW w:w="846" w:type="dxa"/>
          </w:tcPr>
          <w:p w14:paraId="2CE16AF5" w14:textId="77777777" w:rsidR="00800269" w:rsidRPr="00AC63A7" w:rsidRDefault="00800269" w:rsidP="009A46EF">
            <w:pPr>
              <w:jc w:val="center"/>
              <w:rPr>
                <w:rFonts w:cs="Arial"/>
                <w:b/>
                <w:color w:val="000000" w:themeColor="text1"/>
                <w:sz w:val="20"/>
                <w:szCs w:val="20"/>
              </w:rPr>
            </w:pPr>
            <w:r w:rsidRPr="00AC63A7">
              <w:rPr>
                <w:rFonts w:cs="Arial"/>
                <w:b/>
                <w:color w:val="000000" w:themeColor="text1"/>
                <w:sz w:val="20"/>
                <w:szCs w:val="20"/>
              </w:rPr>
              <w:t>Stage</w:t>
            </w:r>
          </w:p>
        </w:tc>
        <w:tc>
          <w:tcPr>
            <w:tcW w:w="2126" w:type="dxa"/>
          </w:tcPr>
          <w:p w14:paraId="5ED0FD90" w14:textId="77777777" w:rsidR="00800269" w:rsidRPr="00AC63A7" w:rsidRDefault="00800269" w:rsidP="009A46EF">
            <w:pPr>
              <w:jc w:val="center"/>
              <w:rPr>
                <w:rFonts w:cs="Arial"/>
                <w:b/>
                <w:color w:val="000000" w:themeColor="text1"/>
                <w:sz w:val="20"/>
                <w:szCs w:val="20"/>
              </w:rPr>
            </w:pPr>
            <w:r w:rsidRPr="00AC63A7">
              <w:rPr>
                <w:rFonts w:cs="Arial"/>
                <w:b/>
                <w:color w:val="000000" w:themeColor="text1"/>
                <w:sz w:val="20"/>
                <w:szCs w:val="20"/>
              </w:rPr>
              <w:t>Aim</w:t>
            </w:r>
          </w:p>
        </w:tc>
        <w:tc>
          <w:tcPr>
            <w:tcW w:w="3827" w:type="dxa"/>
          </w:tcPr>
          <w:p w14:paraId="129C5EDF" w14:textId="77777777" w:rsidR="00800269" w:rsidRPr="00AC63A7" w:rsidRDefault="00800269" w:rsidP="009A46EF">
            <w:pPr>
              <w:jc w:val="center"/>
              <w:rPr>
                <w:rFonts w:cs="Arial"/>
                <w:b/>
                <w:color w:val="000000" w:themeColor="text1"/>
                <w:sz w:val="20"/>
                <w:szCs w:val="20"/>
              </w:rPr>
            </w:pPr>
            <w:r w:rsidRPr="00AC63A7">
              <w:rPr>
                <w:rFonts w:cs="Arial"/>
                <w:b/>
                <w:color w:val="000000" w:themeColor="text1"/>
                <w:sz w:val="20"/>
                <w:szCs w:val="20"/>
              </w:rPr>
              <w:t>Activity</w:t>
            </w:r>
          </w:p>
        </w:tc>
        <w:tc>
          <w:tcPr>
            <w:tcW w:w="2547" w:type="dxa"/>
          </w:tcPr>
          <w:p w14:paraId="13F05786" w14:textId="77777777" w:rsidR="00800269" w:rsidRPr="00AC63A7" w:rsidRDefault="00800269" w:rsidP="009A46EF">
            <w:pPr>
              <w:jc w:val="center"/>
              <w:rPr>
                <w:rFonts w:cs="Arial"/>
                <w:b/>
                <w:color w:val="000000" w:themeColor="text1"/>
                <w:sz w:val="20"/>
                <w:szCs w:val="20"/>
              </w:rPr>
            </w:pPr>
            <w:r w:rsidRPr="00AC63A7">
              <w:rPr>
                <w:rFonts w:cs="Arial"/>
                <w:b/>
                <w:color w:val="000000" w:themeColor="text1"/>
                <w:sz w:val="20"/>
                <w:szCs w:val="20"/>
              </w:rPr>
              <w:t>Goal of each step</w:t>
            </w:r>
          </w:p>
        </w:tc>
      </w:tr>
      <w:tr w:rsidR="00800269" w:rsidRPr="00AC63A7" w14:paraId="2576EFB0" w14:textId="77777777" w:rsidTr="009A46EF">
        <w:trPr>
          <w:trHeight w:val="530"/>
        </w:trPr>
        <w:tc>
          <w:tcPr>
            <w:tcW w:w="846" w:type="dxa"/>
          </w:tcPr>
          <w:p w14:paraId="542AAC3F" w14:textId="77777777" w:rsidR="00800269" w:rsidRPr="00AC63A7" w:rsidRDefault="00800269" w:rsidP="009A46EF">
            <w:pPr>
              <w:jc w:val="center"/>
              <w:rPr>
                <w:rFonts w:cs="Arial"/>
                <w:b/>
                <w:sz w:val="20"/>
                <w:szCs w:val="20"/>
              </w:rPr>
            </w:pPr>
            <w:r w:rsidRPr="00AC63A7">
              <w:rPr>
                <w:rFonts w:cs="Arial"/>
                <w:b/>
                <w:sz w:val="20"/>
                <w:szCs w:val="20"/>
              </w:rPr>
              <w:t>1</w:t>
            </w:r>
          </w:p>
        </w:tc>
        <w:tc>
          <w:tcPr>
            <w:tcW w:w="2126" w:type="dxa"/>
          </w:tcPr>
          <w:p w14:paraId="041ECD8C" w14:textId="77777777" w:rsidR="00800269" w:rsidRPr="00AC63A7" w:rsidRDefault="00800269" w:rsidP="009A46EF">
            <w:pPr>
              <w:rPr>
                <w:rFonts w:cs="Arial"/>
                <w:sz w:val="20"/>
                <w:szCs w:val="20"/>
              </w:rPr>
            </w:pPr>
            <w:r w:rsidRPr="00AC63A7">
              <w:rPr>
                <w:rFonts w:cs="Arial"/>
                <w:sz w:val="20"/>
                <w:szCs w:val="20"/>
              </w:rPr>
              <w:t>Symptom-limiting activity</w:t>
            </w:r>
          </w:p>
        </w:tc>
        <w:tc>
          <w:tcPr>
            <w:tcW w:w="3827" w:type="dxa"/>
          </w:tcPr>
          <w:p w14:paraId="2CC0337A" w14:textId="77777777" w:rsidR="00800269" w:rsidRPr="00AC63A7" w:rsidRDefault="00800269" w:rsidP="009A46EF">
            <w:pPr>
              <w:rPr>
                <w:rFonts w:cs="Arial"/>
                <w:sz w:val="20"/>
                <w:szCs w:val="20"/>
              </w:rPr>
            </w:pPr>
            <w:r w:rsidRPr="00AC63A7">
              <w:rPr>
                <w:rFonts w:cs="Arial"/>
                <w:sz w:val="20"/>
                <w:szCs w:val="20"/>
              </w:rPr>
              <w:t>Daily activities that do not provoke symptoms</w:t>
            </w:r>
          </w:p>
        </w:tc>
        <w:tc>
          <w:tcPr>
            <w:tcW w:w="2547" w:type="dxa"/>
          </w:tcPr>
          <w:p w14:paraId="64838AF6" w14:textId="77777777" w:rsidR="00800269" w:rsidRPr="00AC63A7" w:rsidRDefault="00800269" w:rsidP="009A46EF">
            <w:pPr>
              <w:rPr>
                <w:rFonts w:cs="Arial"/>
                <w:sz w:val="20"/>
                <w:szCs w:val="20"/>
              </w:rPr>
            </w:pPr>
            <w:r w:rsidRPr="00AC63A7">
              <w:rPr>
                <w:rFonts w:cs="Arial"/>
                <w:sz w:val="20"/>
                <w:szCs w:val="20"/>
              </w:rPr>
              <w:t>Gradual re-introduction of work/school activities</w:t>
            </w:r>
          </w:p>
        </w:tc>
      </w:tr>
      <w:tr w:rsidR="00800269" w:rsidRPr="00AC63A7" w14:paraId="2795FEB0" w14:textId="77777777" w:rsidTr="009A46EF">
        <w:trPr>
          <w:trHeight w:val="1250"/>
        </w:trPr>
        <w:tc>
          <w:tcPr>
            <w:tcW w:w="846" w:type="dxa"/>
          </w:tcPr>
          <w:p w14:paraId="5ED5F120" w14:textId="77777777" w:rsidR="00800269" w:rsidRPr="00AC63A7" w:rsidRDefault="00800269" w:rsidP="009A46EF">
            <w:pPr>
              <w:jc w:val="center"/>
              <w:rPr>
                <w:rFonts w:cs="Arial"/>
                <w:b/>
                <w:sz w:val="20"/>
                <w:szCs w:val="20"/>
              </w:rPr>
            </w:pPr>
            <w:r w:rsidRPr="00AC63A7">
              <w:rPr>
                <w:rFonts w:cs="Arial"/>
                <w:b/>
                <w:sz w:val="20"/>
                <w:szCs w:val="20"/>
              </w:rPr>
              <w:lastRenderedPageBreak/>
              <w:t>2</w:t>
            </w:r>
          </w:p>
        </w:tc>
        <w:tc>
          <w:tcPr>
            <w:tcW w:w="2126" w:type="dxa"/>
          </w:tcPr>
          <w:p w14:paraId="50904FAF" w14:textId="77777777" w:rsidR="00800269" w:rsidRPr="00AC63A7" w:rsidRDefault="00800269" w:rsidP="009A46EF">
            <w:pPr>
              <w:rPr>
                <w:rFonts w:cs="Arial"/>
                <w:sz w:val="20"/>
                <w:szCs w:val="20"/>
              </w:rPr>
            </w:pPr>
            <w:r w:rsidRPr="00AC63A7">
              <w:rPr>
                <w:rFonts w:cs="Arial"/>
                <w:sz w:val="20"/>
                <w:szCs w:val="20"/>
              </w:rPr>
              <w:t>Light aerobic activity</w:t>
            </w:r>
          </w:p>
          <w:p w14:paraId="4B4DDE77" w14:textId="77777777" w:rsidR="00800269" w:rsidRPr="00AC63A7" w:rsidRDefault="00800269" w:rsidP="009A46EF">
            <w:pPr>
              <w:rPr>
                <w:rFonts w:cs="Arial"/>
                <w:sz w:val="20"/>
                <w:szCs w:val="20"/>
              </w:rPr>
            </w:pPr>
          </w:p>
        </w:tc>
        <w:tc>
          <w:tcPr>
            <w:tcW w:w="3827" w:type="dxa"/>
          </w:tcPr>
          <w:p w14:paraId="055C58AC" w14:textId="77777777" w:rsidR="00800269" w:rsidRPr="00AC63A7" w:rsidRDefault="00800269" w:rsidP="009A46EF">
            <w:pPr>
              <w:rPr>
                <w:rFonts w:cs="Arial"/>
                <w:sz w:val="20"/>
                <w:szCs w:val="20"/>
              </w:rPr>
            </w:pPr>
            <w:r>
              <w:rPr>
                <w:rFonts w:cs="Arial"/>
                <w:sz w:val="20"/>
                <w:szCs w:val="20"/>
              </w:rPr>
              <w:t>Stretching and low to moderate</w:t>
            </w:r>
            <w:r w:rsidRPr="00AC63A7">
              <w:rPr>
                <w:rFonts w:cs="Arial"/>
                <w:sz w:val="20"/>
                <w:szCs w:val="20"/>
              </w:rPr>
              <w:t xml:space="preserve"> pace</w:t>
            </w:r>
            <w:r>
              <w:rPr>
                <w:rFonts w:cs="Arial"/>
                <w:sz w:val="20"/>
                <w:szCs w:val="20"/>
              </w:rPr>
              <w:t xml:space="preserve"> aerobic work-outs</w:t>
            </w:r>
            <w:r w:rsidRPr="00AC63A7">
              <w:rPr>
                <w:rFonts w:cs="Arial"/>
                <w:sz w:val="20"/>
                <w:szCs w:val="20"/>
              </w:rPr>
              <w:t>. No resistance training</w:t>
            </w:r>
          </w:p>
          <w:p w14:paraId="42C25F01" w14:textId="77777777" w:rsidR="00800269" w:rsidRPr="00AC63A7" w:rsidRDefault="00800269" w:rsidP="009A46EF">
            <w:pPr>
              <w:rPr>
                <w:rFonts w:cs="Arial"/>
                <w:i/>
                <w:sz w:val="20"/>
                <w:szCs w:val="20"/>
              </w:rPr>
            </w:pPr>
            <w:r w:rsidRPr="00AC63A7">
              <w:rPr>
                <w:rFonts w:cs="Arial"/>
                <w:i/>
                <w:sz w:val="20"/>
                <w:szCs w:val="20"/>
              </w:rPr>
              <w:t xml:space="preserve"> -</w:t>
            </w:r>
            <w:r>
              <w:rPr>
                <w:rFonts w:cs="Arial"/>
                <w:i/>
                <w:sz w:val="20"/>
                <w:szCs w:val="20"/>
              </w:rPr>
              <w:t>For example, slow to medium pace aerobic work-outs for</w:t>
            </w:r>
            <w:r w:rsidRPr="00AC63A7">
              <w:rPr>
                <w:rFonts w:cs="Arial"/>
                <w:i/>
                <w:sz w:val="20"/>
                <w:szCs w:val="20"/>
              </w:rPr>
              <w:t xml:space="preserve"> 15-20 minutes at sub-symptom threshold intensity</w:t>
            </w:r>
            <w:r>
              <w:rPr>
                <w:rFonts w:cs="Arial"/>
                <w:i/>
                <w:sz w:val="20"/>
                <w:szCs w:val="20"/>
              </w:rPr>
              <w:t>.</w:t>
            </w:r>
          </w:p>
        </w:tc>
        <w:tc>
          <w:tcPr>
            <w:tcW w:w="2547" w:type="dxa"/>
          </w:tcPr>
          <w:p w14:paraId="35C37CC2" w14:textId="77777777" w:rsidR="00800269" w:rsidRPr="00AC63A7" w:rsidRDefault="00800269" w:rsidP="009A46EF">
            <w:pPr>
              <w:rPr>
                <w:rFonts w:cs="Arial"/>
                <w:sz w:val="20"/>
                <w:szCs w:val="20"/>
              </w:rPr>
            </w:pPr>
            <w:r w:rsidRPr="00AC63A7">
              <w:rPr>
                <w:rFonts w:cs="Arial"/>
                <w:sz w:val="20"/>
                <w:szCs w:val="20"/>
              </w:rPr>
              <w:t>Increase heart rate</w:t>
            </w:r>
          </w:p>
        </w:tc>
      </w:tr>
      <w:tr w:rsidR="00800269" w:rsidRPr="00AC63A7" w14:paraId="07908B0B" w14:textId="77777777" w:rsidTr="009A46EF">
        <w:trPr>
          <w:trHeight w:val="1259"/>
        </w:trPr>
        <w:tc>
          <w:tcPr>
            <w:tcW w:w="846" w:type="dxa"/>
          </w:tcPr>
          <w:p w14:paraId="4058621B" w14:textId="77777777" w:rsidR="00800269" w:rsidRPr="00AC63A7" w:rsidRDefault="00800269" w:rsidP="009A46EF">
            <w:pPr>
              <w:jc w:val="center"/>
              <w:rPr>
                <w:rFonts w:cs="Arial"/>
                <w:b/>
                <w:sz w:val="20"/>
                <w:szCs w:val="20"/>
              </w:rPr>
            </w:pPr>
            <w:r w:rsidRPr="00AC63A7">
              <w:rPr>
                <w:rFonts w:cs="Arial"/>
                <w:b/>
                <w:sz w:val="20"/>
                <w:szCs w:val="20"/>
              </w:rPr>
              <w:t>3</w:t>
            </w:r>
          </w:p>
        </w:tc>
        <w:tc>
          <w:tcPr>
            <w:tcW w:w="2126" w:type="dxa"/>
          </w:tcPr>
          <w:p w14:paraId="19B87A2E" w14:textId="77777777" w:rsidR="00800269" w:rsidRPr="00AC63A7" w:rsidRDefault="00800269" w:rsidP="009A46EF">
            <w:pPr>
              <w:rPr>
                <w:rFonts w:cs="Arial"/>
                <w:sz w:val="20"/>
                <w:szCs w:val="20"/>
              </w:rPr>
            </w:pPr>
            <w:r w:rsidRPr="00AC63A7">
              <w:rPr>
                <w:rFonts w:cs="Arial"/>
                <w:sz w:val="20"/>
                <w:szCs w:val="20"/>
              </w:rPr>
              <w:t>Sport-specific exercise</w:t>
            </w:r>
          </w:p>
        </w:tc>
        <w:tc>
          <w:tcPr>
            <w:tcW w:w="3827" w:type="dxa"/>
          </w:tcPr>
          <w:p w14:paraId="5533FE6B" w14:textId="77777777" w:rsidR="00800269" w:rsidRPr="007A65EC" w:rsidRDefault="00800269" w:rsidP="009A46EF">
            <w:pPr>
              <w:rPr>
                <w:rFonts w:asciiTheme="majorHAnsi" w:hAnsiTheme="majorHAnsi" w:cs="Arial"/>
                <w:sz w:val="20"/>
                <w:szCs w:val="20"/>
              </w:rPr>
            </w:pPr>
            <w:r w:rsidRPr="004C0036">
              <w:rPr>
                <w:rFonts w:asciiTheme="majorHAnsi" w:hAnsiTheme="majorHAnsi" w:cs="Arial"/>
                <w:sz w:val="20"/>
                <w:szCs w:val="20"/>
              </w:rPr>
              <w:t xml:space="preserve">Low to moderate intensity individual dribbling, shooting and passing drills. </w:t>
            </w:r>
            <w:r>
              <w:rPr>
                <w:rFonts w:asciiTheme="majorHAnsi" w:hAnsiTheme="majorHAnsi" w:cs="Arial"/>
                <w:sz w:val="20"/>
                <w:szCs w:val="20"/>
              </w:rPr>
              <w:t xml:space="preserve">Moderate intensity aerobic and anaerobic work-outs. </w:t>
            </w:r>
            <w:r w:rsidRPr="004C0036">
              <w:rPr>
                <w:rFonts w:asciiTheme="majorHAnsi" w:hAnsiTheme="majorHAnsi" w:cs="Arial"/>
                <w:sz w:val="20"/>
                <w:szCs w:val="20"/>
              </w:rPr>
              <w:t>No team drills or head impact activities</w:t>
            </w:r>
          </w:p>
        </w:tc>
        <w:tc>
          <w:tcPr>
            <w:tcW w:w="2547" w:type="dxa"/>
          </w:tcPr>
          <w:p w14:paraId="46B42231" w14:textId="77777777" w:rsidR="00800269" w:rsidRPr="00AC63A7" w:rsidRDefault="00800269" w:rsidP="009A46EF">
            <w:pPr>
              <w:rPr>
                <w:rFonts w:cs="Arial"/>
                <w:sz w:val="20"/>
                <w:szCs w:val="20"/>
              </w:rPr>
            </w:pPr>
            <w:r w:rsidRPr="00AC63A7">
              <w:rPr>
                <w:rFonts w:cs="Arial"/>
                <w:sz w:val="20"/>
                <w:szCs w:val="20"/>
              </w:rPr>
              <w:t>Add movement</w:t>
            </w:r>
          </w:p>
        </w:tc>
      </w:tr>
      <w:tr w:rsidR="00800269" w:rsidRPr="00AC63A7" w14:paraId="4EFF9495" w14:textId="77777777" w:rsidTr="009A46EF">
        <w:trPr>
          <w:trHeight w:val="1070"/>
        </w:trPr>
        <w:tc>
          <w:tcPr>
            <w:tcW w:w="846" w:type="dxa"/>
          </w:tcPr>
          <w:p w14:paraId="4F32E549" w14:textId="77777777" w:rsidR="00800269" w:rsidRPr="00AC63A7" w:rsidRDefault="00800269" w:rsidP="009A46EF">
            <w:pPr>
              <w:jc w:val="center"/>
              <w:rPr>
                <w:rFonts w:cs="Arial"/>
                <w:b/>
                <w:sz w:val="20"/>
                <w:szCs w:val="20"/>
              </w:rPr>
            </w:pPr>
            <w:r w:rsidRPr="00AC63A7">
              <w:rPr>
                <w:rFonts w:cs="Arial"/>
                <w:b/>
                <w:sz w:val="20"/>
                <w:szCs w:val="20"/>
              </w:rPr>
              <w:t>4</w:t>
            </w:r>
          </w:p>
        </w:tc>
        <w:tc>
          <w:tcPr>
            <w:tcW w:w="2126" w:type="dxa"/>
          </w:tcPr>
          <w:p w14:paraId="6E92F583" w14:textId="77777777" w:rsidR="00800269" w:rsidRPr="00AC63A7" w:rsidRDefault="00800269" w:rsidP="009A46EF">
            <w:pPr>
              <w:rPr>
                <w:rFonts w:cs="Arial"/>
                <w:sz w:val="20"/>
                <w:szCs w:val="20"/>
              </w:rPr>
            </w:pPr>
            <w:r w:rsidRPr="00AC63A7">
              <w:rPr>
                <w:rFonts w:cs="Arial"/>
                <w:sz w:val="20"/>
                <w:szCs w:val="20"/>
              </w:rPr>
              <w:t>Non-contact training drills</w:t>
            </w:r>
          </w:p>
        </w:tc>
        <w:tc>
          <w:tcPr>
            <w:tcW w:w="3827" w:type="dxa"/>
          </w:tcPr>
          <w:p w14:paraId="16E1942F" w14:textId="77777777" w:rsidR="00800269" w:rsidRPr="007A65EC" w:rsidRDefault="00800269" w:rsidP="009A46EF">
            <w:pPr>
              <w:rPr>
                <w:rFonts w:asciiTheme="majorHAnsi" w:hAnsiTheme="majorHAnsi" w:cs="Arial"/>
                <w:i/>
                <w:sz w:val="20"/>
                <w:szCs w:val="20"/>
              </w:rPr>
            </w:pPr>
            <w:r w:rsidRPr="007A65EC">
              <w:rPr>
                <w:rFonts w:asciiTheme="majorHAnsi" w:hAnsiTheme="majorHAnsi" w:cs="Arial"/>
                <w:sz w:val="20"/>
                <w:szCs w:val="20"/>
              </w:rPr>
              <w:t>H</w:t>
            </w:r>
            <w:r>
              <w:rPr>
                <w:rFonts w:asciiTheme="majorHAnsi" w:hAnsiTheme="majorHAnsi" w:cs="Arial"/>
                <w:sz w:val="20"/>
                <w:szCs w:val="20"/>
              </w:rPr>
              <w:t>igh intensity dribbling</w:t>
            </w:r>
            <w:r w:rsidRPr="007A65EC">
              <w:rPr>
                <w:rFonts w:asciiTheme="majorHAnsi" w:hAnsiTheme="majorHAnsi" w:cs="Arial"/>
                <w:sz w:val="20"/>
                <w:szCs w:val="20"/>
              </w:rPr>
              <w:t>, shooting, and passing drills. Non-contact individual and team drills. May start progressive resistance training. No head impact activities</w:t>
            </w:r>
          </w:p>
        </w:tc>
        <w:tc>
          <w:tcPr>
            <w:tcW w:w="2547" w:type="dxa"/>
          </w:tcPr>
          <w:p w14:paraId="66FE90A2" w14:textId="77777777" w:rsidR="00800269" w:rsidRPr="00AC63A7" w:rsidRDefault="00800269" w:rsidP="009A46EF">
            <w:pPr>
              <w:rPr>
                <w:rFonts w:cs="Arial"/>
                <w:sz w:val="20"/>
                <w:szCs w:val="20"/>
              </w:rPr>
            </w:pPr>
            <w:r w:rsidRPr="00AC63A7">
              <w:rPr>
                <w:rFonts w:cs="Arial"/>
                <w:sz w:val="20"/>
                <w:szCs w:val="20"/>
              </w:rPr>
              <w:t>Exercise, coordination and increased thinking</w:t>
            </w:r>
          </w:p>
        </w:tc>
      </w:tr>
      <w:tr w:rsidR="00800269" w:rsidRPr="00AC63A7" w14:paraId="521D6384" w14:textId="77777777" w:rsidTr="009A46EF">
        <w:trPr>
          <w:trHeight w:val="809"/>
        </w:trPr>
        <w:tc>
          <w:tcPr>
            <w:tcW w:w="846" w:type="dxa"/>
          </w:tcPr>
          <w:p w14:paraId="3DF3EA07" w14:textId="77777777" w:rsidR="00800269" w:rsidRPr="00AC63A7" w:rsidRDefault="00800269" w:rsidP="009A46EF">
            <w:pPr>
              <w:jc w:val="center"/>
              <w:rPr>
                <w:rFonts w:cs="Arial"/>
                <w:b/>
                <w:sz w:val="20"/>
                <w:szCs w:val="20"/>
              </w:rPr>
            </w:pPr>
            <w:r w:rsidRPr="00AC63A7">
              <w:rPr>
                <w:rFonts w:cs="Arial"/>
                <w:b/>
                <w:sz w:val="20"/>
                <w:szCs w:val="20"/>
              </w:rPr>
              <w:t>5</w:t>
            </w:r>
          </w:p>
        </w:tc>
        <w:tc>
          <w:tcPr>
            <w:tcW w:w="2126" w:type="dxa"/>
          </w:tcPr>
          <w:p w14:paraId="5165D679" w14:textId="77777777" w:rsidR="00800269" w:rsidRPr="00AC63A7" w:rsidRDefault="00800269" w:rsidP="009A46EF">
            <w:pPr>
              <w:rPr>
                <w:rFonts w:cs="Arial"/>
                <w:sz w:val="20"/>
                <w:szCs w:val="20"/>
              </w:rPr>
            </w:pPr>
            <w:r w:rsidRPr="00AC63A7">
              <w:rPr>
                <w:rFonts w:cs="Arial"/>
                <w:sz w:val="20"/>
                <w:szCs w:val="20"/>
              </w:rPr>
              <w:t>Full contact practice</w:t>
            </w:r>
          </w:p>
        </w:tc>
        <w:tc>
          <w:tcPr>
            <w:tcW w:w="3827" w:type="dxa"/>
          </w:tcPr>
          <w:p w14:paraId="4AE1C82F" w14:textId="77777777" w:rsidR="00800269" w:rsidRPr="00AC63A7" w:rsidRDefault="00800269" w:rsidP="009A46EF">
            <w:pPr>
              <w:rPr>
                <w:rFonts w:cs="Arial"/>
                <w:sz w:val="20"/>
                <w:szCs w:val="20"/>
              </w:rPr>
            </w:pPr>
            <w:r w:rsidRPr="00AC63A7">
              <w:rPr>
                <w:rFonts w:cs="Arial"/>
                <w:sz w:val="20"/>
                <w:szCs w:val="20"/>
              </w:rPr>
              <w:t>Following medical clearance</w:t>
            </w:r>
          </w:p>
          <w:p w14:paraId="52C97FF3" w14:textId="77777777" w:rsidR="00800269" w:rsidRPr="00AC63A7" w:rsidRDefault="00800269" w:rsidP="009A46EF">
            <w:pPr>
              <w:rPr>
                <w:rFonts w:cs="Arial"/>
                <w:i/>
                <w:sz w:val="20"/>
                <w:szCs w:val="20"/>
              </w:rPr>
            </w:pPr>
            <w:r w:rsidRPr="00AC63A7">
              <w:rPr>
                <w:rFonts w:cs="Arial"/>
                <w:i/>
                <w:sz w:val="20"/>
                <w:szCs w:val="20"/>
              </w:rPr>
              <w:t xml:space="preserve"> - Participation in full practice without activity restriction</w:t>
            </w:r>
          </w:p>
        </w:tc>
        <w:tc>
          <w:tcPr>
            <w:tcW w:w="2547" w:type="dxa"/>
          </w:tcPr>
          <w:p w14:paraId="173E750E" w14:textId="77777777" w:rsidR="00800269" w:rsidRPr="00AC63A7" w:rsidRDefault="00800269" w:rsidP="009A46EF">
            <w:pPr>
              <w:rPr>
                <w:rFonts w:cs="Arial"/>
                <w:sz w:val="20"/>
                <w:szCs w:val="20"/>
              </w:rPr>
            </w:pPr>
            <w:r w:rsidRPr="00AC63A7">
              <w:rPr>
                <w:rFonts w:cs="Arial"/>
                <w:sz w:val="20"/>
                <w:szCs w:val="20"/>
              </w:rPr>
              <w:t>Restore confidence and assess functional skills by coaching staff</w:t>
            </w:r>
          </w:p>
        </w:tc>
      </w:tr>
      <w:tr w:rsidR="00800269" w:rsidRPr="00AC63A7" w14:paraId="0C5D16E8" w14:textId="77777777" w:rsidTr="009A46EF">
        <w:trPr>
          <w:trHeight w:val="260"/>
        </w:trPr>
        <w:tc>
          <w:tcPr>
            <w:tcW w:w="846" w:type="dxa"/>
          </w:tcPr>
          <w:p w14:paraId="4C7F9917" w14:textId="77777777" w:rsidR="00800269" w:rsidRPr="00AC63A7" w:rsidRDefault="00800269" w:rsidP="009A46EF">
            <w:pPr>
              <w:jc w:val="center"/>
              <w:rPr>
                <w:rFonts w:cs="Arial"/>
                <w:b/>
                <w:sz w:val="20"/>
                <w:szCs w:val="20"/>
              </w:rPr>
            </w:pPr>
            <w:r w:rsidRPr="00AC63A7">
              <w:rPr>
                <w:rFonts w:cs="Arial"/>
                <w:b/>
                <w:sz w:val="20"/>
                <w:szCs w:val="20"/>
              </w:rPr>
              <w:t>6</w:t>
            </w:r>
          </w:p>
        </w:tc>
        <w:tc>
          <w:tcPr>
            <w:tcW w:w="2126" w:type="dxa"/>
          </w:tcPr>
          <w:p w14:paraId="5620F4E6" w14:textId="77777777" w:rsidR="00800269" w:rsidRPr="00AC63A7" w:rsidRDefault="00800269" w:rsidP="009A46EF">
            <w:pPr>
              <w:rPr>
                <w:rFonts w:cs="Arial"/>
                <w:sz w:val="20"/>
                <w:szCs w:val="20"/>
              </w:rPr>
            </w:pPr>
            <w:r w:rsidRPr="00AC63A7">
              <w:rPr>
                <w:rFonts w:cs="Arial"/>
                <w:sz w:val="20"/>
                <w:szCs w:val="20"/>
              </w:rPr>
              <w:t>Return to sport</w:t>
            </w:r>
          </w:p>
        </w:tc>
        <w:tc>
          <w:tcPr>
            <w:tcW w:w="3827" w:type="dxa"/>
          </w:tcPr>
          <w:p w14:paraId="49600AD3" w14:textId="77777777" w:rsidR="00800269" w:rsidRPr="00AC63A7" w:rsidRDefault="00800269" w:rsidP="009A46EF">
            <w:pPr>
              <w:rPr>
                <w:rFonts w:cs="Arial"/>
                <w:sz w:val="20"/>
                <w:szCs w:val="20"/>
              </w:rPr>
            </w:pPr>
            <w:r w:rsidRPr="00AC63A7">
              <w:rPr>
                <w:rFonts w:cs="Arial"/>
                <w:sz w:val="20"/>
                <w:szCs w:val="20"/>
              </w:rPr>
              <w:t>Normal game play</w:t>
            </w:r>
          </w:p>
        </w:tc>
        <w:tc>
          <w:tcPr>
            <w:tcW w:w="2547" w:type="dxa"/>
          </w:tcPr>
          <w:p w14:paraId="048C1061" w14:textId="77777777" w:rsidR="00800269" w:rsidRPr="00AC63A7" w:rsidRDefault="00800269" w:rsidP="009A46EF">
            <w:pPr>
              <w:rPr>
                <w:rFonts w:cs="Arial"/>
                <w:sz w:val="20"/>
                <w:szCs w:val="20"/>
              </w:rPr>
            </w:pPr>
          </w:p>
        </w:tc>
      </w:tr>
    </w:tbl>
    <w:p w14:paraId="6A448890" w14:textId="77777777" w:rsidR="00800269" w:rsidRPr="003D1BD6" w:rsidRDefault="00800269" w:rsidP="00800269">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3377C25C" w14:textId="77777777" w:rsidR="00800269" w:rsidRDefault="00800269" w:rsidP="00800269">
      <w:pPr>
        <w:rPr>
          <w:rFonts w:cs="Times New Roman"/>
        </w:rPr>
      </w:pPr>
    </w:p>
    <w:p w14:paraId="5960D4BD" w14:textId="77777777" w:rsidR="003657C5" w:rsidRDefault="003657C5"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p>
    <w:p w14:paraId="1FDBD39A"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HOW LONG WILL IT TAKE FOR THE ATHLETE TO RECOVER?</w:t>
      </w:r>
    </w:p>
    <w:p w14:paraId="4F517D8E" w14:textId="56E69D04" w:rsidR="000A21FC" w:rsidRPr="00346BFC" w:rsidRDefault="00800269"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noProof/>
          <w:sz w:val="22"/>
          <w:szCs w:val="22"/>
          <w:lang w:val="en-CA" w:eastAsia="en-CA"/>
        </w:rPr>
        <mc:AlternateContent>
          <mc:Choice Requires="wps">
            <w:drawing>
              <wp:anchor distT="0" distB="0" distL="114300" distR="114300" simplePos="0" relativeHeight="251658240" behindDoc="0" locked="0" layoutInCell="1" allowOverlap="1" wp14:anchorId="6140984B" wp14:editId="4951B5FD">
                <wp:simplePos x="0" y="0"/>
                <wp:positionH relativeFrom="margin">
                  <wp:posOffset>-57150</wp:posOffset>
                </wp:positionH>
                <wp:positionV relativeFrom="paragraph">
                  <wp:posOffset>769793</wp:posOffset>
                </wp:positionV>
                <wp:extent cx="6303010" cy="4051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6303010" cy="4051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80A21" w14:textId="77777777" w:rsidR="008C2C2A" w:rsidRPr="00FB7B3B" w:rsidRDefault="008C2C2A" w:rsidP="008C2C2A">
                            <w:pPr>
                              <w:rPr>
                                <w:sz w:val="28"/>
                              </w:rPr>
                            </w:pPr>
                            <w:r w:rsidRPr="00FB7B3B">
                              <w:rPr>
                                <w:sz w:val="18"/>
                                <w:szCs w:val="16"/>
                                <w:vertAlign w:val="superscript"/>
                              </w:rPr>
                              <w:t>1</w:t>
                            </w:r>
                            <w:r w:rsidRPr="00FB7B3B">
                              <w:rPr>
                                <w:sz w:val="18"/>
                                <w:szCs w:val="16"/>
                              </w:rPr>
                              <w:t>Source: McCrory et al. (2017). Consensus statement on concussion in sport – the 5</w:t>
                            </w:r>
                            <w:r w:rsidRPr="00FB7B3B">
                              <w:rPr>
                                <w:sz w:val="18"/>
                                <w:szCs w:val="16"/>
                                <w:vertAlign w:val="superscript"/>
                              </w:rPr>
                              <w:t>th</w:t>
                            </w:r>
                            <w:r w:rsidRPr="00FB7B3B">
                              <w:rPr>
                                <w:sz w:val="18"/>
                                <w:szCs w:val="16"/>
                              </w:rPr>
                              <w:t xml:space="preserve"> international conference on concussion in sport held in Berlin, October 2016. </w:t>
                            </w:r>
                            <w:r w:rsidRPr="00FB7B3B">
                              <w:rPr>
                                <w:i/>
                                <w:sz w:val="18"/>
                                <w:szCs w:val="16"/>
                              </w:rPr>
                              <w:t>British Journal of Sports Medicine, 51</w:t>
                            </w:r>
                            <w:r w:rsidRPr="00FB7B3B">
                              <w:rPr>
                                <w:sz w:val="18"/>
                                <w:szCs w:val="16"/>
                              </w:rPr>
                              <w:t xml:space="preserve">(11), </w:t>
                            </w:r>
                            <w:r w:rsidRPr="00FB7B3B">
                              <w:rPr>
                                <w:sz w:val="18"/>
                                <w:szCs w:val="16"/>
                                <w:lang w:val="en-CA"/>
                              </w:rPr>
                              <w:t xml:space="preserve">838-847. </w:t>
                            </w:r>
                            <w:hyperlink r:id="rId8" w:tgtFrame="_new" w:history="1">
                              <w:r w:rsidRPr="00FB7B3B">
                                <w:rPr>
                                  <w:rStyle w:val="Hyperlink"/>
                                  <w:sz w:val="18"/>
                                  <w:szCs w:val="16"/>
                                  <w:lang w:val="en-CA"/>
                                </w:rPr>
                                <w:t>http://dx.doi.org/10.1136/bjsports-2017-097699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0984B" id="_x0000_t202" coordsize="21600,21600" o:spt="202" path="m,l,21600r21600,l21600,xe">
                <v:stroke joinstyle="miter"/>
                <v:path gradientshapeok="t" o:connecttype="rect"/>
              </v:shapetype>
              <v:shape id="Text Box 4" o:spid="_x0000_s1026" type="#_x0000_t202" style="position:absolute;margin-left:-4.5pt;margin-top:60.6pt;width:496.3pt;height:3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mTqw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" filled="f" stroked="f">
                <v:textbox>
                  <w:txbxContent>
                    <w:p w14:paraId="29D80A21" w14:textId="77777777" w:rsidR="008C2C2A" w:rsidRPr="00FB7B3B" w:rsidRDefault="008C2C2A" w:rsidP="008C2C2A">
                      <w:pPr>
                        <w:rPr>
                          <w:sz w:val="28"/>
                        </w:rPr>
                      </w:pPr>
                      <w:r w:rsidRPr="00FB7B3B">
                        <w:rPr>
                          <w:sz w:val="18"/>
                          <w:szCs w:val="16"/>
                          <w:vertAlign w:val="superscript"/>
                        </w:rPr>
                        <w:t>1</w:t>
                      </w:r>
                      <w:r w:rsidRPr="00FB7B3B">
                        <w:rPr>
                          <w:sz w:val="18"/>
                          <w:szCs w:val="16"/>
                        </w:rPr>
                        <w:t>Source: McCrory et al. (2017). Consensus statement on concussion in sport – the 5</w:t>
                      </w:r>
                      <w:r w:rsidRPr="00FB7B3B">
                        <w:rPr>
                          <w:sz w:val="18"/>
                          <w:szCs w:val="16"/>
                          <w:vertAlign w:val="superscript"/>
                        </w:rPr>
                        <w:t>th</w:t>
                      </w:r>
                      <w:r w:rsidRPr="00FB7B3B">
                        <w:rPr>
                          <w:sz w:val="18"/>
                          <w:szCs w:val="16"/>
                        </w:rPr>
                        <w:t xml:space="preserve"> international conference on concussion in sport held in Berlin, October 2016. </w:t>
                      </w:r>
                      <w:r w:rsidRPr="00FB7B3B">
                        <w:rPr>
                          <w:i/>
                          <w:sz w:val="18"/>
                          <w:szCs w:val="16"/>
                        </w:rPr>
                        <w:t>British Journal of Sports Medicine, 51</w:t>
                      </w:r>
                      <w:r w:rsidRPr="00FB7B3B">
                        <w:rPr>
                          <w:sz w:val="18"/>
                          <w:szCs w:val="16"/>
                        </w:rPr>
                        <w:t xml:space="preserve">(11), </w:t>
                      </w:r>
                      <w:r w:rsidRPr="00FB7B3B">
                        <w:rPr>
                          <w:sz w:val="18"/>
                          <w:szCs w:val="16"/>
                          <w:lang w:val="en-CA"/>
                        </w:rPr>
                        <w:t xml:space="preserve">838-847. </w:t>
                      </w:r>
                      <w:hyperlink r:id="rId9" w:tgtFrame="_new" w:history="1">
                        <w:r w:rsidRPr="00FB7B3B">
                          <w:rPr>
                            <w:rStyle w:val="Hyperlink"/>
                            <w:sz w:val="18"/>
                            <w:szCs w:val="16"/>
                            <w:lang w:val="en-CA"/>
                          </w:rPr>
                          <w:t>http://dx.doi.org/10.1136/bjsports-2017-097699</w:t>
                        </w:r>
                      </w:hyperlink>
                    </w:p>
                  </w:txbxContent>
                </v:textbox>
                <w10:wrap anchorx="margin"/>
              </v:shape>
            </w:pict>
          </mc:Fallback>
        </mc:AlternateContent>
      </w:r>
      <w:r w:rsidR="000A21FC" w:rsidRPr="00346BFC">
        <w:rPr>
          <w:rFonts w:cs="Calibri"/>
          <w:color w:val="000000"/>
          <w:sz w:val="22"/>
          <w:szCs w:val="22"/>
        </w:rPr>
        <w:t>Most athletes who sustain a concussion will make a complete recovery within 1-2 weeks while most youth athletes will recover within 1-4 weeks. Approximately 15-30% of patients will experience persistent symptoms (&gt;2 weeks for adults; &gt;4 weeks for youth) that may require additional medical assessment and management.</w:t>
      </w:r>
    </w:p>
    <w:p w14:paraId="327165D9" w14:textId="4E0953F4" w:rsidR="003655C1" w:rsidRDefault="003655C1" w:rsidP="003655C1">
      <w:pPr>
        <w:rPr>
          <w:rFonts w:cs="Calibri"/>
          <w:b/>
          <w:bCs/>
          <w:color w:val="000000"/>
          <w:sz w:val="22"/>
          <w:szCs w:val="22"/>
        </w:rPr>
      </w:pPr>
    </w:p>
    <w:p w14:paraId="435CFA51" w14:textId="77777777" w:rsidR="003655C1" w:rsidRDefault="003655C1" w:rsidP="003655C1">
      <w:pPr>
        <w:rPr>
          <w:rFonts w:cs="Calibri"/>
          <w:b/>
          <w:bCs/>
          <w:color w:val="000000"/>
          <w:sz w:val="22"/>
          <w:szCs w:val="22"/>
        </w:rPr>
      </w:pPr>
    </w:p>
    <w:p w14:paraId="2A0BA02C" w14:textId="77777777" w:rsidR="003655C1" w:rsidRDefault="003655C1" w:rsidP="003655C1">
      <w:pPr>
        <w:rPr>
          <w:rFonts w:cs="Calibri"/>
          <w:b/>
          <w:bCs/>
          <w:color w:val="000000"/>
          <w:sz w:val="22"/>
          <w:szCs w:val="22"/>
        </w:rPr>
      </w:pPr>
      <w:bookmarkStart w:id="0" w:name="_GoBack"/>
      <w:bookmarkEnd w:id="0"/>
    </w:p>
    <w:p w14:paraId="044A9CC9" w14:textId="3704139E" w:rsidR="000A21FC" w:rsidRPr="00346BFC" w:rsidRDefault="000A21FC" w:rsidP="003655C1">
      <w:pPr>
        <w:rPr>
          <w:rFonts w:cs="Calibri"/>
          <w:b/>
          <w:bCs/>
          <w:color w:val="000000"/>
          <w:sz w:val="22"/>
          <w:szCs w:val="22"/>
        </w:rPr>
      </w:pPr>
      <w:r w:rsidRPr="00346BFC">
        <w:rPr>
          <w:rFonts w:cs="Calibri"/>
          <w:b/>
          <w:bCs/>
          <w:color w:val="000000"/>
          <w:sz w:val="22"/>
          <w:szCs w:val="22"/>
        </w:rPr>
        <w:t>HOW CAN I HELP PREVENT CONCUSSIONS AND THEIR CONSEQUENCES?</w:t>
      </w:r>
    </w:p>
    <w:p w14:paraId="3D6D8996"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rPr>
      </w:pPr>
      <w:r w:rsidRPr="00346BFC">
        <w:rPr>
          <w:rFonts w:cs="Calibri"/>
          <w:color w:val="000000"/>
          <w:sz w:val="22"/>
          <w:szCs w:val="22"/>
        </w:rPr>
        <w:t xml:space="preserve">Concussion prevention, recognition and management require athletes to follow the rules and regulations of their sport, respect their opponents, avoid head contact, and report suspected concussions. </w:t>
      </w:r>
    </w:p>
    <w:p w14:paraId="2E440CAB" w14:textId="1D6C1B8B"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rPr>
      </w:pPr>
      <w:r w:rsidRPr="00346BFC">
        <w:rPr>
          <w:rFonts w:cs="Calibri"/>
          <w:b/>
          <w:bCs/>
          <w:color w:val="000000"/>
          <w:sz w:val="22"/>
          <w:szCs w:val="22"/>
        </w:rPr>
        <w:t xml:space="preserve">TO LEARN MORE ABOUT CONCUSSIONS PLEASE VISIT: </w:t>
      </w:r>
      <w:r w:rsidR="003657C5">
        <w:rPr>
          <w:rFonts w:cs="Calibri"/>
          <w:b/>
          <w:bCs/>
          <w:color w:val="000000"/>
          <w:sz w:val="22"/>
          <w:szCs w:val="22"/>
        </w:rPr>
        <w:br/>
      </w:r>
      <w:r w:rsidRPr="00346BFC">
        <w:rPr>
          <w:rFonts w:cs="Calibri"/>
          <w:color w:val="000000"/>
          <w:sz w:val="22"/>
          <w:szCs w:val="22"/>
        </w:rPr>
        <w:t xml:space="preserve">Parachute Canada: </w:t>
      </w:r>
      <w:hyperlink r:id="rId10" w:history="1">
        <w:r w:rsidRPr="00346BFC">
          <w:rPr>
            <w:rFonts w:cs="Calibri"/>
            <w:b/>
            <w:bCs/>
            <w:color w:val="1864CD"/>
            <w:sz w:val="22"/>
            <w:szCs w:val="22"/>
          </w:rPr>
          <w:t>www.parachutecanada.org/concussion</w:t>
        </w:r>
      </w:hyperlink>
    </w:p>
    <w:p w14:paraId="03A6D969" w14:textId="77777777" w:rsidR="000A21FC" w:rsidRPr="00346B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22"/>
          <w:szCs w:val="22"/>
          <w:u w:val="single" w:color="0000FF"/>
        </w:rPr>
      </w:pPr>
    </w:p>
    <w:p w14:paraId="32EF4A17" w14:textId="77777777" w:rsidR="000A21FC"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Calibri"/>
          <w:color w:val="000000"/>
          <w:sz w:val="22"/>
          <w:szCs w:val="22"/>
          <w:u w:color="0000FF"/>
        </w:rPr>
      </w:pPr>
      <w:r w:rsidRPr="00346BFC">
        <w:rPr>
          <w:rFonts w:cs="Calibri"/>
          <w:b/>
          <w:bCs/>
          <w:color w:val="000000"/>
          <w:sz w:val="22"/>
          <w:szCs w:val="22"/>
          <w:u w:color="0000FF"/>
        </w:rPr>
        <w:t>SIGNATURES (OPTIONAL):</w:t>
      </w:r>
      <w:r w:rsidRPr="00346BFC">
        <w:rPr>
          <w:rFonts w:cs="Calibri"/>
          <w:color w:val="000000"/>
          <w:sz w:val="22"/>
          <w:szCs w:val="22"/>
          <w:u w:color="0000FF"/>
        </w:rPr>
        <w:t xml:space="preserve"> The following signatures certify that the athlete and his/her parent or legal guardian have reviewed the above information related to concussion.</w:t>
      </w:r>
    </w:p>
    <w:p w14:paraId="644CD59E" w14:textId="77777777" w:rsidR="003657C5" w:rsidRPr="003657C5" w:rsidRDefault="003657C5" w:rsidP="003657C5">
      <w:pPr>
        <w:pStyle w:val="NoSpacing"/>
      </w:pPr>
    </w:p>
    <w:p w14:paraId="20FA2FFF" w14:textId="74571E8F"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w:t>
      </w:r>
      <w:r w:rsidR="003657C5">
        <w:rPr>
          <w:rFonts w:cs="Calibri"/>
          <w:color w:val="000000"/>
          <w:sz w:val="22"/>
          <w:szCs w:val="22"/>
          <w:u w:color="0000FF"/>
        </w:rPr>
        <w:t>_________________________________</w:t>
      </w:r>
      <w:r w:rsidR="003657C5">
        <w:rPr>
          <w:rFonts w:cs="Calibri"/>
          <w:color w:val="000000"/>
          <w:sz w:val="22"/>
          <w:szCs w:val="22"/>
          <w:u w:color="0000FF"/>
        </w:rPr>
        <w:tab/>
      </w:r>
      <w:r w:rsidRPr="00346BFC">
        <w:rPr>
          <w:rFonts w:cs="Calibri"/>
          <w:color w:val="000000"/>
          <w:sz w:val="22"/>
          <w:szCs w:val="22"/>
          <w:u w:color="0000FF"/>
        </w:rPr>
        <w:t>_________________</w:t>
      </w:r>
      <w:r w:rsidR="003657C5">
        <w:rPr>
          <w:rFonts w:cs="Calibri"/>
          <w:color w:val="000000"/>
          <w:sz w:val="22"/>
          <w:szCs w:val="22"/>
          <w:u w:color="0000FF"/>
        </w:rPr>
        <w:t>___________</w:t>
      </w:r>
      <w:r w:rsidR="003657C5">
        <w:rPr>
          <w:rFonts w:cs="Calibri"/>
          <w:color w:val="000000"/>
          <w:sz w:val="22"/>
          <w:szCs w:val="22"/>
          <w:u w:color="0000FF"/>
        </w:rPr>
        <w:tab/>
        <w:t>______________</w:t>
      </w:r>
    </w:p>
    <w:p w14:paraId="391002BC" w14:textId="6F5328B0"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Printed name of athlete</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3657C5">
        <w:rPr>
          <w:rFonts w:cs="Calibri"/>
          <w:color w:val="000000"/>
          <w:sz w:val="22"/>
          <w:szCs w:val="22"/>
          <w:u w:color="0000FF"/>
        </w:rPr>
        <w:t>Signature of athlete</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Pr="00346BFC">
        <w:rPr>
          <w:rFonts w:cs="Calibri"/>
          <w:color w:val="000000"/>
          <w:sz w:val="22"/>
          <w:szCs w:val="22"/>
          <w:u w:color="0000FF"/>
        </w:rPr>
        <w:t>Date</w:t>
      </w:r>
    </w:p>
    <w:p w14:paraId="3645A982" w14:textId="77777777" w:rsidR="000A21FC" w:rsidRPr="008C2C2A"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52"/>
          <w:szCs w:val="22"/>
          <w:u w:color="0000FF"/>
        </w:rPr>
      </w:pPr>
    </w:p>
    <w:p w14:paraId="2984B772" w14:textId="4D3C4E15" w:rsidR="000A21FC" w:rsidRPr="00346BFC" w:rsidRDefault="000A21FC" w:rsidP="003657C5">
      <w:pPr>
        <w:widowControl w:val="0"/>
        <w:autoSpaceDE w:val="0"/>
        <w:autoSpaceDN w:val="0"/>
        <w:adjustRightInd w:val="0"/>
        <w:rPr>
          <w:rFonts w:cs="Calibri"/>
          <w:color w:val="000000"/>
          <w:sz w:val="22"/>
          <w:szCs w:val="22"/>
          <w:u w:color="0000FF"/>
        </w:rPr>
      </w:pPr>
      <w:r w:rsidRPr="00346BFC">
        <w:rPr>
          <w:rFonts w:cs="Calibri"/>
          <w:color w:val="000000"/>
          <w:sz w:val="22"/>
          <w:szCs w:val="22"/>
          <w:u w:color="0000FF"/>
        </w:rPr>
        <w:t>___</w:t>
      </w:r>
      <w:r w:rsidR="003657C5">
        <w:rPr>
          <w:rFonts w:cs="Calibri"/>
          <w:color w:val="000000"/>
          <w:sz w:val="22"/>
          <w:szCs w:val="22"/>
          <w:u w:color="0000FF"/>
        </w:rPr>
        <w:t>________________________________</w:t>
      </w:r>
      <w:r w:rsidR="003657C5">
        <w:rPr>
          <w:rFonts w:cs="Calibri"/>
          <w:color w:val="000000"/>
          <w:sz w:val="22"/>
          <w:szCs w:val="22"/>
          <w:u w:color="0000FF"/>
        </w:rPr>
        <w:tab/>
        <w:t>____________________________</w:t>
      </w:r>
      <w:r w:rsidR="003657C5">
        <w:rPr>
          <w:rFonts w:cs="Calibri"/>
          <w:color w:val="000000"/>
          <w:sz w:val="22"/>
          <w:szCs w:val="22"/>
          <w:u w:color="0000FF"/>
        </w:rPr>
        <w:tab/>
        <w:t>______________</w:t>
      </w:r>
    </w:p>
    <w:p w14:paraId="3D2139B7" w14:textId="57992973" w:rsidR="00FC4CB0" w:rsidRPr="00346BFC" w:rsidRDefault="002673B8" w:rsidP="000A21FC">
      <w:pPr>
        <w:rPr>
          <w:sz w:val="22"/>
          <w:szCs w:val="22"/>
        </w:rPr>
      </w:pPr>
      <w:r w:rsidRPr="00346BFC">
        <w:rPr>
          <w:rFonts w:cs="Calibri"/>
          <w:color w:val="000000"/>
          <w:sz w:val="22"/>
          <w:szCs w:val="22"/>
          <w:u w:color="0000FF"/>
        </w:rPr>
        <w:t>Printed name of parent</w:t>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Pr="00346BFC">
        <w:rPr>
          <w:rFonts w:cs="Calibri"/>
          <w:color w:val="000000"/>
          <w:sz w:val="22"/>
          <w:szCs w:val="22"/>
          <w:u w:color="0000FF"/>
        </w:rPr>
        <w:tab/>
      </w:r>
      <w:r w:rsidR="000A21FC" w:rsidRPr="00346BFC">
        <w:rPr>
          <w:rFonts w:cs="Calibri"/>
          <w:color w:val="000000"/>
          <w:sz w:val="22"/>
          <w:szCs w:val="22"/>
          <w:u w:color="0000FF"/>
        </w:rPr>
        <w:t>Signa</w:t>
      </w:r>
      <w:r w:rsidR="003657C5">
        <w:rPr>
          <w:rFonts w:cs="Calibri"/>
          <w:color w:val="000000"/>
          <w:sz w:val="22"/>
          <w:szCs w:val="22"/>
          <w:u w:color="0000FF"/>
        </w:rPr>
        <w:t>ture of parent</w:t>
      </w:r>
      <w:r w:rsidR="003657C5">
        <w:rPr>
          <w:rFonts w:cs="Calibri"/>
          <w:color w:val="000000"/>
          <w:sz w:val="22"/>
          <w:szCs w:val="22"/>
          <w:u w:color="0000FF"/>
        </w:rPr>
        <w:tab/>
      </w:r>
      <w:r w:rsidR="003657C5">
        <w:rPr>
          <w:rFonts w:cs="Calibri"/>
          <w:color w:val="000000"/>
          <w:sz w:val="22"/>
          <w:szCs w:val="22"/>
          <w:u w:color="0000FF"/>
        </w:rPr>
        <w:tab/>
      </w:r>
      <w:r w:rsidR="003657C5">
        <w:rPr>
          <w:rFonts w:cs="Calibri"/>
          <w:color w:val="000000"/>
          <w:sz w:val="22"/>
          <w:szCs w:val="22"/>
          <w:u w:color="0000FF"/>
        </w:rPr>
        <w:tab/>
      </w:r>
      <w:r w:rsidR="000A21FC" w:rsidRPr="00346BFC">
        <w:rPr>
          <w:rFonts w:cs="Calibri"/>
          <w:color w:val="000000"/>
          <w:sz w:val="22"/>
          <w:szCs w:val="22"/>
          <w:u w:color="0000FF"/>
        </w:rPr>
        <w:t>Date</w:t>
      </w:r>
      <w:r w:rsidR="000A21FC" w:rsidRPr="00346BFC">
        <w:rPr>
          <w:rFonts w:cs="Calibri"/>
          <w:color w:val="000000"/>
          <w:sz w:val="22"/>
          <w:szCs w:val="22"/>
          <w:u w:color="0000FF"/>
        </w:rPr>
        <w:tab/>
      </w:r>
      <w:r w:rsidR="000A21FC" w:rsidRPr="00346BFC">
        <w:rPr>
          <w:rFonts w:cs="Calibri"/>
          <w:color w:val="000000"/>
          <w:sz w:val="22"/>
          <w:szCs w:val="22"/>
          <w:u w:color="0000FF"/>
        </w:rPr>
        <w:tab/>
      </w:r>
    </w:p>
    <w:sectPr w:rsidR="00FC4CB0" w:rsidRPr="00346BFC" w:rsidSect="001D672D">
      <w:footerReference w:type="even" r:id="rId11"/>
      <w:footerReference w:type="default" r:id="rId12"/>
      <w:pgSz w:w="12240" w:h="15840"/>
      <w:pgMar w:top="1304" w:right="1247" w:bottom="1418" w:left="1247"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A3FC3" w14:textId="77777777" w:rsidR="00742231" w:rsidRDefault="00742231" w:rsidP="00141885">
      <w:r>
        <w:separator/>
      </w:r>
    </w:p>
  </w:endnote>
  <w:endnote w:type="continuationSeparator" w:id="0">
    <w:p w14:paraId="68647D29" w14:textId="77777777" w:rsidR="00742231" w:rsidRDefault="00742231"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497A" w14:textId="77777777" w:rsidR="00F73033" w:rsidRDefault="00F73033" w:rsidP="00E2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8C2C2A" w:rsidRDefault="008C2C2A" w:rsidP="00F73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C308" w14:textId="77777777" w:rsidR="00F73033" w:rsidRPr="00F73033" w:rsidRDefault="00F73033" w:rsidP="00E22F8E">
    <w:pPr>
      <w:pStyle w:val="Footer"/>
      <w:framePr w:wrap="around" w:vAnchor="text" w:hAnchor="margin" w:xAlign="right" w:y="1"/>
      <w:rPr>
        <w:rStyle w:val="PageNumber"/>
        <w:sz w:val="22"/>
        <w:szCs w:val="20"/>
      </w:rPr>
    </w:pPr>
    <w:r w:rsidRPr="00F73033">
      <w:rPr>
        <w:rStyle w:val="PageNumber"/>
        <w:sz w:val="22"/>
        <w:szCs w:val="20"/>
      </w:rPr>
      <w:fldChar w:fldCharType="begin"/>
    </w:r>
    <w:r w:rsidRPr="00F73033">
      <w:rPr>
        <w:rStyle w:val="PageNumber"/>
        <w:sz w:val="22"/>
        <w:szCs w:val="20"/>
      </w:rPr>
      <w:instrText xml:space="preserve">PAGE  </w:instrText>
    </w:r>
    <w:r w:rsidRPr="00F73033">
      <w:rPr>
        <w:rStyle w:val="PageNumber"/>
        <w:sz w:val="22"/>
        <w:szCs w:val="20"/>
      </w:rPr>
      <w:fldChar w:fldCharType="separate"/>
    </w:r>
    <w:r w:rsidR="00800269">
      <w:rPr>
        <w:rStyle w:val="PageNumber"/>
        <w:noProof/>
        <w:sz w:val="22"/>
        <w:szCs w:val="20"/>
      </w:rPr>
      <w:t>3</w:t>
    </w:r>
    <w:r w:rsidRPr="00F73033">
      <w:rPr>
        <w:rStyle w:val="PageNumber"/>
        <w:sz w:val="22"/>
        <w:szCs w:val="20"/>
      </w:rPr>
      <w:fldChar w:fldCharType="end"/>
    </w:r>
  </w:p>
  <w:p w14:paraId="45F18E32" w14:textId="19D7B3E1" w:rsidR="003657C5" w:rsidRPr="007800DC" w:rsidRDefault="00F73033" w:rsidP="00F73033">
    <w:pPr>
      <w:pStyle w:val="Footer"/>
      <w:ind w:right="360"/>
      <w:rPr>
        <w:sz w:val="22"/>
      </w:rPr>
    </w:pP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BC5A" w14:textId="77777777" w:rsidR="00742231" w:rsidRDefault="00742231" w:rsidP="00141885">
      <w:r>
        <w:separator/>
      </w:r>
    </w:p>
  </w:footnote>
  <w:footnote w:type="continuationSeparator" w:id="0">
    <w:p w14:paraId="2F6000BF" w14:textId="77777777" w:rsidR="00742231" w:rsidRDefault="00742231"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818A4"/>
    <w:rsid w:val="00087C78"/>
    <w:rsid w:val="000A21FC"/>
    <w:rsid w:val="000D606B"/>
    <w:rsid w:val="000F671B"/>
    <w:rsid w:val="00123F07"/>
    <w:rsid w:val="00141885"/>
    <w:rsid w:val="00164857"/>
    <w:rsid w:val="001B1420"/>
    <w:rsid w:val="001D672D"/>
    <w:rsid w:val="00204EB7"/>
    <w:rsid w:val="002673B8"/>
    <w:rsid w:val="00324663"/>
    <w:rsid w:val="00346BFC"/>
    <w:rsid w:val="003655C1"/>
    <w:rsid w:val="003657C5"/>
    <w:rsid w:val="0048731F"/>
    <w:rsid w:val="004E588D"/>
    <w:rsid w:val="005476BB"/>
    <w:rsid w:val="00553219"/>
    <w:rsid w:val="005A6D28"/>
    <w:rsid w:val="00602D79"/>
    <w:rsid w:val="006C7B67"/>
    <w:rsid w:val="00712E86"/>
    <w:rsid w:val="0073527F"/>
    <w:rsid w:val="00742231"/>
    <w:rsid w:val="007800DC"/>
    <w:rsid w:val="007D19F3"/>
    <w:rsid w:val="007E6CC0"/>
    <w:rsid w:val="00800269"/>
    <w:rsid w:val="00836FD5"/>
    <w:rsid w:val="0085470F"/>
    <w:rsid w:val="00875A43"/>
    <w:rsid w:val="008C2C2A"/>
    <w:rsid w:val="009225CE"/>
    <w:rsid w:val="00975D1F"/>
    <w:rsid w:val="009B4008"/>
    <w:rsid w:val="00A11093"/>
    <w:rsid w:val="00A22D7A"/>
    <w:rsid w:val="00A520AB"/>
    <w:rsid w:val="00AB3E2E"/>
    <w:rsid w:val="00AD5C65"/>
    <w:rsid w:val="00B53790"/>
    <w:rsid w:val="00BD6950"/>
    <w:rsid w:val="00C700C9"/>
    <w:rsid w:val="00CE19AF"/>
    <w:rsid w:val="00D06E85"/>
    <w:rsid w:val="00D14252"/>
    <w:rsid w:val="00D7793A"/>
    <w:rsid w:val="00DB04CB"/>
    <w:rsid w:val="00DB42A5"/>
    <w:rsid w:val="00E50531"/>
    <w:rsid w:val="00F73033"/>
    <w:rsid w:val="00FB7B3B"/>
    <w:rsid w:val="00FC4CB0"/>
    <w:rsid w:val="00FE1428"/>
    <w:rsid w:val="00FF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598E9EDA-35E7-4538-A27D-29EF7D6F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character" w:styleId="PageNumber">
    <w:name w:val="page number"/>
    <w:basedOn w:val="DefaultParagraphFont"/>
    <w:uiPriority w:val="99"/>
    <w:semiHidden/>
    <w:unhideWhenUsed/>
    <w:rsid w:val="00F73033"/>
  </w:style>
  <w:style w:type="paragraph" w:customStyle="1" w:styleId="p1">
    <w:name w:val="p1"/>
    <w:basedOn w:val="Normal"/>
    <w:rsid w:val="00800269"/>
    <w:rPr>
      <w:rFonts w:cs="Times New Roman"/>
      <w:sz w:val="15"/>
      <w:szCs w:val="15"/>
    </w:rPr>
  </w:style>
  <w:style w:type="character" w:customStyle="1" w:styleId="s1">
    <w:name w:val="s1"/>
    <w:basedOn w:val="DefaultParagraphFont"/>
    <w:rsid w:val="0080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bjsports-2017-0976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achutecanada.org/concussion" TargetMode="External"/><Relationship Id="rId4" Type="http://schemas.openxmlformats.org/officeDocument/2006/relationships/settings" Target="settings.xml"/><Relationship Id="rId9" Type="http://schemas.openxmlformats.org/officeDocument/2006/relationships/hyperlink" Target="http://dx.doi.org/10.1136/bjsports-2017-0976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D6E5-5229-463B-9F41-51DA6E99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Parachute</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46</cp:revision>
  <dcterms:created xsi:type="dcterms:W3CDTF">2017-07-27T03:14:00Z</dcterms:created>
  <dcterms:modified xsi:type="dcterms:W3CDTF">2019-08-12T15:15:00Z</dcterms:modified>
</cp:coreProperties>
</file>